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3F4C1" w14:textId="77777777" w:rsidR="00324BAA" w:rsidRDefault="001479FB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 ZA STARIJE OSOBE</w:t>
      </w:r>
    </w:p>
    <w:p w14:paraId="13579C1E" w14:textId="75E4ECF9" w:rsidR="001479FB" w:rsidRDefault="001479FB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„VOLOSKO“ OPATIJA</w:t>
      </w:r>
    </w:p>
    <w:p w14:paraId="11144F72" w14:textId="77777777" w:rsidR="00324BAA" w:rsidRDefault="00324BAA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73F13" w14:textId="260A39AD" w:rsidR="001479FB" w:rsidRPr="00324BAA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24BAA">
        <w:rPr>
          <w:rFonts w:ascii="Times New Roman" w:hAnsi="Times New Roman" w:cs="Times New Roman"/>
          <w:sz w:val="24"/>
          <w:szCs w:val="24"/>
        </w:rPr>
        <w:t>Andrije Štangera 34</w:t>
      </w:r>
    </w:p>
    <w:p w14:paraId="28D156BA" w14:textId="42115579" w:rsidR="001479FB" w:rsidRPr="00324BAA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24BAA">
        <w:rPr>
          <w:rFonts w:ascii="Times New Roman" w:hAnsi="Times New Roman" w:cs="Times New Roman"/>
          <w:sz w:val="24"/>
          <w:szCs w:val="24"/>
        </w:rPr>
        <w:t>51410 Opatija</w:t>
      </w:r>
    </w:p>
    <w:p w14:paraId="22568EF3" w14:textId="231C555D" w:rsidR="001479FB" w:rsidRPr="00324BAA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24BAA">
        <w:rPr>
          <w:rFonts w:ascii="Times New Roman" w:hAnsi="Times New Roman" w:cs="Times New Roman"/>
          <w:sz w:val="24"/>
          <w:szCs w:val="24"/>
        </w:rPr>
        <w:t>OIB: 25924713456</w:t>
      </w:r>
    </w:p>
    <w:p w14:paraId="4F68CAD7" w14:textId="77777777" w:rsidR="001479FB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E44F6" w14:textId="77777777" w:rsidR="00324BAA" w:rsidRPr="00324BAA" w:rsidRDefault="00324BAA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8B106" w14:textId="189ED091" w:rsidR="001479FB" w:rsidRPr="005770F5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70F5">
        <w:rPr>
          <w:rFonts w:ascii="Times New Roman" w:hAnsi="Times New Roman" w:cs="Times New Roman"/>
          <w:sz w:val="24"/>
          <w:szCs w:val="24"/>
        </w:rPr>
        <w:t>Ur.br.:</w:t>
      </w:r>
      <w:r w:rsidR="005770F5">
        <w:rPr>
          <w:rFonts w:ascii="Times New Roman" w:hAnsi="Times New Roman" w:cs="Times New Roman"/>
          <w:sz w:val="24"/>
          <w:szCs w:val="24"/>
        </w:rPr>
        <w:t xml:space="preserve"> 2156-07003/U3-4-2024-72</w:t>
      </w:r>
    </w:p>
    <w:p w14:paraId="0C16C725" w14:textId="32336FCB" w:rsidR="001479FB" w:rsidRPr="00324BAA" w:rsidRDefault="001479FB" w:rsidP="001479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770F5">
        <w:rPr>
          <w:rFonts w:ascii="Times New Roman" w:hAnsi="Times New Roman" w:cs="Times New Roman"/>
          <w:sz w:val="24"/>
          <w:szCs w:val="24"/>
        </w:rPr>
        <w:t xml:space="preserve">Opatija, </w:t>
      </w:r>
      <w:r w:rsidR="00FD43E2" w:rsidRPr="005770F5">
        <w:rPr>
          <w:rFonts w:ascii="Times New Roman" w:hAnsi="Times New Roman" w:cs="Times New Roman"/>
          <w:sz w:val="24"/>
          <w:szCs w:val="24"/>
        </w:rPr>
        <w:t>20. lipnja 2024. godine</w:t>
      </w:r>
    </w:p>
    <w:p w14:paraId="541CCACD" w14:textId="77777777" w:rsidR="002B62F6" w:rsidRDefault="002B62F6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63FFB" w14:textId="77777777" w:rsidR="002B62F6" w:rsidRDefault="002B62F6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29E86" w14:textId="77777777" w:rsidR="002F2BE4" w:rsidRDefault="002F2BE4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52E50" w14:textId="77777777" w:rsidR="00DA393B" w:rsidRDefault="00DA393B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6DEBB" w14:textId="77777777" w:rsidR="00DA393B" w:rsidRDefault="00DA393B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1161B" w14:textId="77777777" w:rsidR="00DA393B" w:rsidRDefault="00DA393B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38298" w14:textId="77777777" w:rsidR="002B62F6" w:rsidRDefault="002B62F6" w:rsidP="001479F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99C60" w14:textId="77777777" w:rsidR="001479FB" w:rsidRDefault="001479FB" w:rsidP="001479F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BED14" w14:textId="77777777" w:rsidR="002B62F6" w:rsidRDefault="001479FB" w:rsidP="001479FB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2F6">
        <w:rPr>
          <w:rFonts w:ascii="Times New Roman" w:hAnsi="Times New Roman" w:cs="Times New Roman"/>
          <w:b/>
          <w:bCs/>
          <w:sz w:val="32"/>
          <w:szCs w:val="32"/>
        </w:rPr>
        <w:t xml:space="preserve">II. IZMJENE I DOPUNE FINANCIJSKOG PLANA </w:t>
      </w:r>
    </w:p>
    <w:p w14:paraId="3F799EAC" w14:textId="4D97A879" w:rsidR="002B62F6" w:rsidRDefault="001479FB" w:rsidP="001479FB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2F6">
        <w:rPr>
          <w:rFonts w:ascii="Times New Roman" w:hAnsi="Times New Roman" w:cs="Times New Roman"/>
          <w:b/>
          <w:bCs/>
          <w:sz w:val="32"/>
          <w:szCs w:val="32"/>
        </w:rPr>
        <w:t xml:space="preserve">ZA 2024. GODINU </w:t>
      </w:r>
      <w:r w:rsidR="00DD0FDE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2B62F6">
        <w:rPr>
          <w:rFonts w:ascii="Times New Roman" w:hAnsi="Times New Roman" w:cs="Times New Roman"/>
          <w:b/>
          <w:bCs/>
          <w:sz w:val="32"/>
          <w:szCs w:val="32"/>
        </w:rPr>
        <w:t xml:space="preserve"> PROJEKCIJ</w:t>
      </w:r>
      <w:r w:rsidR="00DD0FDE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2B6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30A695" w14:textId="2FADF415" w:rsidR="001479FB" w:rsidRPr="002B62F6" w:rsidRDefault="001479FB" w:rsidP="001479FB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2F6">
        <w:rPr>
          <w:rFonts w:ascii="Times New Roman" w:hAnsi="Times New Roman" w:cs="Times New Roman"/>
          <w:b/>
          <w:bCs/>
          <w:sz w:val="32"/>
          <w:szCs w:val="32"/>
        </w:rPr>
        <w:t>ZA 2025. I 2026. GODINU</w:t>
      </w:r>
    </w:p>
    <w:p w14:paraId="7490568F" w14:textId="77777777" w:rsidR="001479FB" w:rsidRPr="002B62F6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3BAB9B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BA5B155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AB3077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46AD6C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59F965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CE18DE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53D3D3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F2440A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804F67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9AD4C9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C75AE1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CD47F4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274434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4E7A8A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DA0BF0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02A931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B4E747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E48225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6F621F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3F4133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04F80F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F89031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A6785B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2D81AE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5EBFB0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D78C08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9CC77C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1E86B1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7DB233" w14:textId="77777777" w:rsidR="001479FB" w:rsidRDefault="001479FB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334772" w14:textId="711F24B1" w:rsidR="009F2EDF" w:rsidRPr="004B530C" w:rsidRDefault="00041292" w:rsidP="007D3ECE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B530C">
        <w:rPr>
          <w:rFonts w:ascii="Times New Roman" w:hAnsi="Times New Roman" w:cs="Times New Roman"/>
          <w:b/>
        </w:rPr>
        <w:lastRenderedPageBreak/>
        <w:t xml:space="preserve">NAZIV </w:t>
      </w:r>
      <w:r w:rsidR="00340D2F" w:rsidRPr="004B530C">
        <w:rPr>
          <w:rFonts w:ascii="Times New Roman" w:hAnsi="Times New Roman" w:cs="Times New Roman"/>
          <w:b/>
        </w:rPr>
        <w:t xml:space="preserve">PRORAČUNSKOG </w:t>
      </w:r>
      <w:r w:rsidRPr="004B530C">
        <w:rPr>
          <w:rFonts w:ascii="Times New Roman" w:hAnsi="Times New Roman" w:cs="Times New Roman"/>
          <w:b/>
        </w:rPr>
        <w:t>KORISNIKA:</w:t>
      </w:r>
      <w:r w:rsidR="000B7D54" w:rsidRPr="004B530C">
        <w:rPr>
          <w:rFonts w:ascii="Times New Roman" w:hAnsi="Times New Roman" w:cs="Times New Roman"/>
          <w:b/>
        </w:rPr>
        <w:t xml:space="preserve"> </w:t>
      </w:r>
      <w:r w:rsidR="009874F5" w:rsidRPr="004B530C">
        <w:rPr>
          <w:rFonts w:ascii="Times New Roman" w:hAnsi="Times New Roman" w:cs="Times New Roman"/>
          <w:b/>
        </w:rPr>
        <w:t>DOM ZA STARIJE OSOBE „VOLOSKO“ OPATIJA</w:t>
      </w:r>
    </w:p>
    <w:p w14:paraId="6848AB6A" w14:textId="1B8FD7EE" w:rsidR="009F2EDF" w:rsidRDefault="009F2EDF" w:rsidP="009F2E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514D7" w14:textId="77777777" w:rsidR="00AC4332" w:rsidRPr="004B530C" w:rsidRDefault="00AC4332" w:rsidP="00B00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777D1" w14:textId="5BFACFD4" w:rsidR="00BE1F71" w:rsidRPr="000954A3" w:rsidRDefault="00BE1F71" w:rsidP="00A05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4A3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649A8" w:rsidRPr="000954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75AE" w:rsidRPr="000954A3">
        <w:rPr>
          <w:rFonts w:ascii="Times New Roman" w:hAnsi="Times New Roman" w:cs="Times New Roman"/>
          <w:b/>
          <w:sz w:val="24"/>
          <w:szCs w:val="24"/>
        </w:rPr>
        <w:t>I</w:t>
      </w:r>
      <w:r w:rsidRPr="000954A3">
        <w:rPr>
          <w:rFonts w:ascii="Times New Roman" w:hAnsi="Times New Roman" w:cs="Times New Roman"/>
          <w:b/>
          <w:sz w:val="24"/>
          <w:szCs w:val="24"/>
        </w:rPr>
        <w:t>I. IZMJEN</w:t>
      </w:r>
      <w:r w:rsidR="00877A6B" w:rsidRPr="000954A3">
        <w:rPr>
          <w:rFonts w:ascii="Times New Roman" w:hAnsi="Times New Roman" w:cs="Times New Roman"/>
          <w:b/>
          <w:sz w:val="24"/>
          <w:szCs w:val="24"/>
        </w:rPr>
        <w:t>E</w:t>
      </w:r>
      <w:r w:rsidRPr="000954A3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877A6B" w:rsidRPr="000954A3">
        <w:rPr>
          <w:rFonts w:ascii="Times New Roman" w:hAnsi="Times New Roman" w:cs="Times New Roman"/>
          <w:b/>
          <w:sz w:val="24"/>
          <w:szCs w:val="24"/>
        </w:rPr>
        <w:t>E</w:t>
      </w:r>
      <w:r w:rsidRPr="000954A3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83347C" w:rsidRPr="000954A3">
        <w:rPr>
          <w:rFonts w:ascii="Times New Roman" w:hAnsi="Times New Roman" w:cs="Times New Roman"/>
          <w:b/>
          <w:sz w:val="24"/>
          <w:szCs w:val="24"/>
        </w:rPr>
        <w:t>4</w:t>
      </w:r>
      <w:r w:rsidRPr="000954A3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775906C1" w14:textId="21733BFF" w:rsidR="00560000" w:rsidRPr="00054FBE" w:rsidRDefault="006A392E" w:rsidP="00B004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4FB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004F9" w:rsidRPr="00054F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411245" w:rsidRPr="00054FBE">
        <w:rPr>
          <w:rFonts w:ascii="Times New Roman" w:hAnsi="Times New Roman" w:cs="Times New Roman"/>
          <w:b/>
          <w:bCs/>
          <w:sz w:val="24"/>
          <w:szCs w:val="24"/>
          <w:u w:val="single"/>
        </w:rPr>
        <w:t>OPĆI DIO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2137"/>
        <w:gridCol w:w="2714"/>
        <w:gridCol w:w="24"/>
        <w:gridCol w:w="1842"/>
      </w:tblGrid>
      <w:tr w:rsidR="00560000" w:rsidRPr="004B530C" w14:paraId="3C536AEA" w14:textId="77777777" w:rsidTr="00CF0E85">
        <w:tc>
          <w:tcPr>
            <w:tcW w:w="9634" w:type="dxa"/>
            <w:gridSpan w:val="5"/>
          </w:tcPr>
          <w:p w14:paraId="2D6516A6" w14:textId="77777777" w:rsidR="00560000" w:rsidRPr="004B530C" w:rsidRDefault="00560000" w:rsidP="00D44A8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A2298FA" w14:textId="77777777" w:rsidR="00560000" w:rsidRPr="004B530C" w:rsidRDefault="00560000" w:rsidP="00D44A8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PRIHODI</w:t>
            </w:r>
          </w:p>
        </w:tc>
      </w:tr>
      <w:tr w:rsidR="00BE0ACA" w:rsidRPr="004B530C" w14:paraId="14F6933D" w14:textId="77777777" w:rsidTr="00E12DAE">
        <w:trPr>
          <w:trHeight w:val="296"/>
        </w:trPr>
        <w:tc>
          <w:tcPr>
            <w:tcW w:w="2917" w:type="dxa"/>
          </w:tcPr>
          <w:p w14:paraId="67396068" w14:textId="77777777" w:rsidR="00560000" w:rsidRPr="004B530C" w:rsidRDefault="00560000" w:rsidP="002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F3467F9" w14:textId="5FAD015D" w:rsidR="00560000" w:rsidRPr="004B530C" w:rsidRDefault="00560000" w:rsidP="002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Izvori</w:t>
            </w:r>
          </w:p>
        </w:tc>
        <w:tc>
          <w:tcPr>
            <w:tcW w:w="2137" w:type="dxa"/>
          </w:tcPr>
          <w:p w14:paraId="38858E67" w14:textId="77777777" w:rsidR="00560000" w:rsidRPr="004B530C" w:rsidRDefault="00560000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76B4E22D" w14:textId="6EB8E32A" w:rsidR="00560000" w:rsidRPr="004B530C" w:rsidRDefault="00560000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202</w:t>
            </w:r>
            <w:r w:rsidR="00833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14" w:type="dxa"/>
          </w:tcPr>
          <w:p w14:paraId="5A3056B1" w14:textId="77777777" w:rsidR="002962AD" w:rsidRPr="004B530C" w:rsidRDefault="002962AD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22A3FAC" w14:textId="5CF5BBBE" w:rsidR="00560000" w:rsidRPr="004B530C" w:rsidRDefault="00411245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Povećanje/smanjenje</w:t>
            </w:r>
          </w:p>
        </w:tc>
        <w:tc>
          <w:tcPr>
            <w:tcW w:w="1866" w:type="dxa"/>
            <w:gridSpan w:val="2"/>
          </w:tcPr>
          <w:p w14:paraId="7BB269FF" w14:textId="77777777" w:rsidR="002962AD" w:rsidRPr="004B530C" w:rsidRDefault="002962AD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27F9EAA" w14:textId="0B7AA902" w:rsidR="00560000" w:rsidRPr="004B530C" w:rsidRDefault="00560000" w:rsidP="002962A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BE0ACA" w:rsidRPr="004B530C" w14:paraId="288A538E" w14:textId="77777777" w:rsidTr="00E12DAE">
        <w:trPr>
          <w:trHeight w:val="288"/>
        </w:trPr>
        <w:tc>
          <w:tcPr>
            <w:tcW w:w="2917" w:type="dxa"/>
            <w:vAlign w:val="center"/>
          </w:tcPr>
          <w:p w14:paraId="527B3678" w14:textId="77777777" w:rsidR="00560000" w:rsidRPr="004B530C" w:rsidRDefault="00560000" w:rsidP="00D4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 111 PGŽ</w:t>
            </w:r>
          </w:p>
        </w:tc>
        <w:tc>
          <w:tcPr>
            <w:tcW w:w="2137" w:type="dxa"/>
            <w:vAlign w:val="center"/>
          </w:tcPr>
          <w:p w14:paraId="5BE572FB" w14:textId="01AB7AAD" w:rsidR="00560000" w:rsidRPr="004B530C" w:rsidRDefault="00601E79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170.246,00</w:t>
            </w:r>
          </w:p>
        </w:tc>
        <w:tc>
          <w:tcPr>
            <w:tcW w:w="2714" w:type="dxa"/>
            <w:vAlign w:val="center"/>
          </w:tcPr>
          <w:p w14:paraId="0C78FBC7" w14:textId="3D72525A" w:rsidR="00560000" w:rsidRPr="004B530C" w:rsidRDefault="00601E79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232.719,00</w:t>
            </w:r>
          </w:p>
        </w:tc>
        <w:tc>
          <w:tcPr>
            <w:tcW w:w="1866" w:type="dxa"/>
            <w:gridSpan w:val="2"/>
            <w:vAlign w:val="center"/>
          </w:tcPr>
          <w:p w14:paraId="185FA6AF" w14:textId="6783D4EC" w:rsidR="00560000" w:rsidRPr="004B530C" w:rsidRDefault="00A05C25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402.965,00</w:t>
            </w:r>
          </w:p>
        </w:tc>
      </w:tr>
      <w:tr w:rsidR="0008770A" w:rsidRPr="004B530C" w14:paraId="3B312558" w14:textId="77777777" w:rsidTr="00E12DAE">
        <w:trPr>
          <w:trHeight w:val="288"/>
        </w:trPr>
        <w:tc>
          <w:tcPr>
            <w:tcW w:w="2917" w:type="dxa"/>
            <w:vAlign w:val="center"/>
          </w:tcPr>
          <w:p w14:paraId="7B2A5757" w14:textId="5CE58D7F" w:rsidR="0008770A" w:rsidRPr="004B530C" w:rsidRDefault="0008770A" w:rsidP="00D4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 321</w:t>
            </w:r>
          </w:p>
        </w:tc>
        <w:tc>
          <w:tcPr>
            <w:tcW w:w="2137" w:type="dxa"/>
            <w:vAlign w:val="center"/>
          </w:tcPr>
          <w:p w14:paraId="22659C61" w14:textId="43674D5C" w:rsidR="0008770A" w:rsidRDefault="0008770A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4.353,00</w:t>
            </w:r>
          </w:p>
        </w:tc>
        <w:tc>
          <w:tcPr>
            <w:tcW w:w="2714" w:type="dxa"/>
            <w:vAlign w:val="center"/>
          </w:tcPr>
          <w:p w14:paraId="2F2CF275" w14:textId="18F3D993" w:rsidR="0008770A" w:rsidRDefault="0008770A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66" w:type="dxa"/>
            <w:gridSpan w:val="2"/>
            <w:vAlign w:val="center"/>
          </w:tcPr>
          <w:p w14:paraId="6A5E3556" w14:textId="6A3F127B" w:rsidR="0008770A" w:rsidRDefault="0008770A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4.353,00</w:t>
            </w:r>
          </w:p>
        </w:tc>
      </w:tr>
      <w:tr w:rsidR="0008770A" w:rsidRPr="004B530C" w14:paraId="0DCA13C9" w14:textId="77777777" w:rsidTr="00E12DAE">
        <w:trPr>
          <w:trHeight w:val="288"/>
        </w:trPr>
        <w:tc>
          <w:tcPr>
            <w:tcW w:w="2917" w:type="dxa"/>
            <w:vAlign w:val="center"/>
          </w:tcPr>
          <w:p w14:paraId="584452E7" w14:textId="1122B045" w:rsidR="0008770A" w:rsidRPr="004B530C" w:rsidRDefault="0008770A" w:rsidP="00D44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 431</w:t>
            </w:r>
          </w:p>
        </w:tc>
        <w:tc>
          <w:tcPr>
            <w:tcW w:w="2137" w:type="dxa"/>
            <w:vAlign w:val="center"/>
          </w:tcPr>
          <w:p w14:paraId="502D5337" w14:textId="6E739D14" w:rsidR="0008770A" w:rsidRDefault="00231848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920.000,00</w:t>
            </w:r>
          </w:p>
        </w:tc>
        <w:tc>
          <w:tcPr>
            <w:tcW w:w="2714" w:type="dxa"/>
            <w:vAlign w:val="center"/>
          </w:tcPr>
          <w:p w14:paraId="75DE4303" w14:textId="6D5DCFA1" w:rsidR="0008770A" w:rsidRDefault="00231848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286,24</w:t>
            </w:r>
          </w:p>
        </w:tc>
        <w:tc>
          <w:tcPr>
            <w:tcW w:w="1866" w:type="dxa"/>
            <w:gridSpan w:val="2"/>
            <w:vAlign w:val="center"/>
          </w:tcPr>
          <w:p w14:paraId="6ABDC8B7" w14:textId="03A4024E" w:rsidR="0008770A" w:rsidRDefault="00231848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101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.286,24</w:t>
            </w:r>
          </w:p>
        </w:tc>
      </w:tr>
      <w:tr w:rsidR="000449E4" w:rsidRPr="004B530C" w14:paraId="5327A272" w14:textId="77777777" w:rsidTr="00E12DAE">
        <w:trPr>
          <w:trHeight w:val="264"/>
        </w:trPr>
        <w:tc>
          <w:tcPr>
            <w:tcW w:w="2917" w:type="dxa"/>
            <w:vAlign w:val="center"/>
          </w:tcPr>
          <w:p w14:paraId="5DB4291A" w14:textId="77777777" w:rsidR="00560000" w:rsidRPr="004B530C" w:rsidRDefault="00560000" w:rsidP="0056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 444 DEC</w:t>
            </w:r>
          </w:p>
        </w:tc>
        <w:tc>
          <w:tcPr>
            <w:tcW w:w="2137" w:type="dxa"/>
            <w:vAlign w:val="center"/>
          </w:tcPr>
          <w:p w14:paraId="6399C553" w14:textId="6154B08D" w:rsidR="00560000" w:rsidRPr="004B530C" w:rsidRDefault="001D7119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436.157,00</w:t>
            </w:r>
          </w:p>
        </w:tc>
        <w:tc>
          <w:tcPr>
            <w:tcW w:w="2714" w:type="dxa"/>
            <w:vAlign w:val="center"/>
          </w:tcPr>
          <w:p w14:paraId="1D33FD29" w14:textId="4D863C47" w:rsidR="00560000" w:rsidRPr="004B530C" w:rsidRDefault="00BE0ACA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66" w:type="dxa"/>
            <w:gridSpan w:val="2"/>
            <w:vAlign w:val="center"/>
          </w:tcPr>
          <w:p w14:paraId="6E83D8F8" w14:textId="7A11728E" w:rsidR="00560000" w:rsidRPr="004B530C" w:rsidRDefault="001D7119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436.157,00</w:t>
            </w:r>
          </w:p>
        </w:tc>
      </w:tr>
      <w:tr w:rsidR="001D7119" w:rsidRPr="004B530C" w14:paraId="50C64707" w14:textId="77777777" w:rsidTr="00E12DAE">
        <w:trPr>
          <w:trHeight w:val="264"/>
        </w:trPr>
        <w:tc>
          <w:tcPr>
            <w:tcW w:w="2917" w:type="dxa"/>
            <w:vAlign w:val="center"/>
          </w:tcPr>
          <w:p w14:paraId="1F0007E3" w14:textId="0B5375BE" w:rsidR="001D7119" w:rsidRPr="004B530C" w:rsidRDefault="001D7119" w:rsidP="0056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Prenesena sredstva</w:t>
            </w:r>
            <w:r w:rsidR="00981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D35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prihodi za decentraliziran</w:t>
            </w:r>
            <w:r w:rsidR="009F65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 funkcije </w:t>
            </w:r>
            <w:r w:rsidR="00981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484</w:t>
            </w:r>
          </w:p>
        </w:tc>
        <w:tc>
          <w:tcPr>
            <w:tcW w:w="2137" w:type="dxa"/>
            <w:vAlign w:val="center"/>
          </w:tcPr>
          <w:p w14:paraId="5F3B566C" w14:textId="6CD1E967" w:rsidR="001D7119" w:rsidRDefault="00AC624C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2714" w:type="dxa"/>
            <w:vAlign w:val="center"/>
          </w:tcPr>
          <w:p w14:paraId="026F479A" w14:textId="448C85BD" w:rsidR="001D7119" w:rsidRPr="004B530C" w:rsidRDefault="00AC624C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66" w:type="dxa"/>
            <w:gridSpan w:val="2"/>
            <w:vAlign w:val="center"/>
          </w:tcPr>
          <w:p w14:paraId="021A94AC" w14:textId="33D83C17" w:rsidR="001D7119" w:rsidRDefault="001D7119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</w:tr>
      <w:tr w:rsidR="0038169F" w:rsidRPr="004B530C" w14:paraId="3AFC55B0" w14:textId="77777777" w:rsidTr="00E12DAE">
        <w:trPr>
          <w:trHeight w:val="264"/>
        </w:trPr>
        <w:tc>
          <w:tcPr>
            <w:tcW w:w="2917" w:type="dxa"/>
            <w:vAlign w:val="center"/>
          </w:tcPr>
          <w:p w14:paraId="0C7CE17B" w14:textId="1B410FD2" w:rsidR="0038169F" w:rsidRDefault="0038169F" w:rsidP="0056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521</w:t>
            </w:r>
          </w:p>
        </w:tc>
        <w:tc>
          <w:tcPr>
            <w:tcW w:w="2137" w:type="dxa"/>
            <w:vAlign w:val="center"/>
          </w:tcPr>
          <w:p w14:paraId="2DE2E17C" w14:textId="31F1B5FF" w:rsidR="0038169F" w:rsidRDefault="00D2237F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2.160,00</w:t>
            </w:r>
          </w:p>
        </w:tc>
        <w:tc>
          <w:tcPr>
            <w:tcW w:w="2714" w:type="dxa"/>
            <w:vAlign w:val="center"/>
          </w:tcPr>
          <w:p w14:paraId="73F1158E" w14:textId="5853A627" w:rsidR="0038169F" w:rsidRDefault="00D2237F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66" w:type="dxa"/>
            <w:gridSpan w:val="2"/>
            <w:vAlign w:val="center"/>
          </w:tcPr>
          <w:p w14:paraId="02D4DBAE" w14:textId="3CBCB455" w:rsidR="0038169F" w:rsidRDefault="00D2237F" w:rsidP="001F7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2.160,00</w:t>
            </w:r>
          </w:p>
        </w:tc>
      </w:tr>
      <w:tr w:rsidR="002A0046" w:rsidRPr="004B530C" w14:paraId="0FC1DBBC" w14:textId="77777777" w:rsidTr="00E12DAE">
        <w:tc>
          <w:tcPr>
            <w:tcW w:w="2917" w:type="dxa"/>
            <w:vAlign w:val="center"/>
          </w:tcPr>
          <w:p w14:paraId="7CE2A7F9" w14:textId="21C8F7D2" w:rsidR="002A0046" w:rsidRPr="004B530C" w:rsidRDefault="00F63BDC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</w:t>
            </w:r>
            <w:r w:rsidR="00234A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prodaje nef</w:t>
            </w:r>
            <w:r w:rsidR="00572E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inancijske </w:t>
            </w: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imov</w:t>
            </w:r>
            <w:r w:rsidR="00572E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ine</w:t>
            </w:r>
            <w:r w:rsidR="00E61A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</w:t>
            </w: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nak</w:t>
            </w:r>
            <w:r w:rsidR="00572E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nade </w:t>
            </w: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štete 731</w:t>
            </w:r>
          </w:p>
        </w:tc>
        <w:tc>
          <w:tcPr>
            <w:tcW w:w="2137" w:type="dxa"/>
            <w:vAlign w:val="center"/>
          </w:tcPr>
          <w:p w14:paraId="1E52F37F" w14:textId="44B7D87B" w:rsidR="002A0046" w:rsidRPr="004B530C" w:rsidRDefault="00EF0B8A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2714" w:type="dxa"/>
            <w:vAlign w:val="center"/>
          </w:tcPr>
          <w:p w14:paraId="6F54024F" w14:textId="56D4E136" w:rsidR="002A0046" w:rsidRPr="004B530C" w:rsidRDefault="00EF0B8A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66" w:type="dxa"/>
            <w:gridSpan w:val="2"/>
            <w:vAlign w:val="center"/>
          </w:tcPr>
          <w:p w14:paraId="04E9933A" w14:textId="478764B9" w:rsidR="002A0046" w:rsidRPr="004B530C" w:rsidRDefault="00EF0B8A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294509"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2A0046" w:rsidRPr="004B530C" w14:paraId="6ED514DC" w14:textId="77777777" w:rsidTr="00E12DAE">
        <w:trPr>
          <w:trHeight w:val="234"/>
        </w:trPr>
        <w:tc>
          <w:tcPr>
            <w:tcW w:w="2917" w:type="dxa"/>
            <w:vAlign w:val="center"/>
          </w:tcPr>
          <w:p w14:paraId="2D738F46" w14:textId="77777777" w:rsidR="009E5B6D" w:rsidRDefault="009E5B6D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49044B" w14:textId="4A36A562" w:rsidR="002A0046" w:rsidRDefault="002A0046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PRIHOD</w:t>
            </w:r>
            <w:r w:rsidR="0005724C" w:rsidRPr="004B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</w:p>
          <w:p w14:paraId="2470E902" w14:textId="0E20AB7F" w:rsidR="009E5B6D" w:rsidRPr="004B530C" w:rsidRDefault="009E5B6D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14:paraId="1AA7B6AA" w14:textId="76AB4F1B" w:rsidR="002A0046" w:rsidRPr="004B530C" w:rsidRDefault="00AC624C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1.584.916,00</w:t>
            </w:r>
          </w:p>
        </w:tc>
        <w:tc>
          <w:tcPr>
            <w:tcW w:w="2714" w:type="dxa"/>
            <w:vAlign w:val="center"/>
          </w:tcPr>
          <w:p w14:paraId="2F174F6E" w14:textId="55722035" w:rsidR="002A0046" w:rsidRPr="004B530C" w:rsidRDefault="00AC624C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233.005,24</w:t>
            </w:r>
          </w:p>
        </w:tc>
        <w:tc>
          <w:tcPr>
            <w:tcW w:w="1866" w:type="dxa"/>
            <w:gridSpan w:val="2"/>
            <w:vAlign w:val="center"/>
          </w:tcPr>
          <w:p w14:paraId="2C4F073A" w14:textId="551C534F" w:rsidR="002A0046" w:rsidRPr="004B530C" w:rsidRDefault="00D101D9" w:rsidP="002A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1.817.921,24</w:t>
            </w:r>
          </w:p>
        </w:tc>
      </w:tr>
      <w:tr w:rsidR="002A0046" w:rsidRPr="004B530C" w14:paraId="6F87DA09" w14:textId="77777777" w:rsidTr="00CF0E85">
        <w:trPr>
          <w:trHeight w:val="284"/>
        </w:trPr>
        <w:tc>
          <w:tcPr>
            <w:tcW w:w="9634" w:type="dxa"/>
            <w:gridSpan w:val="5"/>
            <w:vAlign w:val="center"/>
          </w:tcPr>
          <w:tbl>
            <w:tblPr>
              <w:tblW w:w="4160" w:type="dxa"/>
              <w:tblLook w:val="04A0" w:firstRow="1" w:lastRow="0" w:firstColumn="1" w:lastColumn="0" w:noHBand="0" w:noVBand="1"/>
            </w:tblPr>
            <w:tblGrid>
              <w:gridCol w:w="1480"/>
              <w:gridCol w:w="1380"/>
              <w:gridCol w:w="1300"/>
            </w:tblGrid>
            <w:tr w:rsidR="002A0046" w:rsidRPr="004B530C" w14:paraId="3BB4AB22" w14:textId="77777777" w:rsidTr="00D44A84">
              <w:trPr>
                <w:trHeight w:val="8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7342F6" w14:textId="77777777" w:rsidR="002A0046" w:rsidRPr="004B530C" w:rsidRDefault="002A0046" w:rsidP="00CC6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CD5C6" w14:textId="77777777" w:rsidR="002A0046" w:rsidRPr="004B530C" w:rsidRDefault="002A0046" w:rsidP="002A0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01D0D1" w14:textId="77777777" w:rsidR="002A0046" w:rsidRPr="004B530C" w:rsidRDefault="002A0046" w:rsidP="002A00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1D15FC96" w14:textId="77777777" w:rsidR="002A0046" w:rsidRPr="004B530C" w:rsidRDefault="002A0046" w:rsidP="002A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RASHODI</w:t>
            </w:r>
          </w:p>
        </w:tc>
      </w:tr>
      <w:tr w:rsidR="002A0046" w:rsidRPr="004B530C" w14:paraId="3AB5BC09" w14:textId="77777777" w:rsidTr="00E12DAE">
        <w:trPr>
          <w:trHeight w:val="334"/>
        </w:trPr>
        <w:tc>
          <w:tcPr>
            <w:tcW w:w="2917" w:type="dxa"/>
            <w:vAlign w:val="center"/>
          </w:tcPr>
          <w:p w14:paraId="49C4796A" w14:textId="77777777" w:rsidR="002A0046" w:rsidRPr="004B530C" w:rsidRDefault="002A0046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Pr="004B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Vrsta</w:t>
            </w:r>
          </w:p>
        </w:tc>
        <w:tc>
          <w:tcPr>
            <w:tcW w:w="2137" w:type="dxa"/>
            <w:vAlign w:val="center"/>
          </w:tcPr>
          <w:p w14:paraId="1172B1F3" w14:textId="1AD01182" w:rsidR="002A0046" w:rsidRPr="004B530C" w:rsidRDefault="002A0046" w:rsidP="002A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202</w:t>
            </w:r>
            <w:r w:rsidR="00833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38" w:type="dxa"/>
            <w:gridSpan w:val="2"/>
          </w:tcPr>
          <w:p w14:paraId="782173F7" w14:textId="782287D3" w:rsidR="002A0046" w:rsidRPr="004B530C" w:rsidRDefault="002A0046" w:rsidP="002A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Povećanje/smanjenje</w:t>
            </w:r>
          </w:p>
        </w:tc>
        <w:tc>
          <w:tcPr>
            <w:tcW w:w="1842" w:type="dxa"/>
            <w:vAlign w:val="center"/>
          </w:tcPr>
          <w:p w14:paraId="366ACFE1" w14:textId="716C4F96" w:rsidR="002A0046" w:rsidRPr="004B530C" w:rsidRDefault="002A0046" w:rsidP="002A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2A0046" w:rsidRPr="004B530C" w14:paraId="270DD6C3" w14:textId="77777777" w:rsidTr="00E12DAE">
        <w:trPr>
          <w:trHeight w:val="234"/>
        </w:trPr>
        <w:tc>
          <w:tcPr>
            <w:tcW w:w="2917" w:type="dxa"/>
            <w:vAlign w:val="center"/>
          </w:tcPr>
          <w:p w14:paraId="68FB822E" w14:textId="77777777" w:rsidR="002A0046" w:rsidRPr="004B530C" w:rsidRDefault="002A0046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2137" w:type="dxa"/>
            <w:vAlign w:val="center"/>
          </w:tcPr>
          <w:p w14:paraId="13BE018B" w14:textId="0A9BE2AD" w:rsidR="002A0046" w:rsidRPr="004B530C" w:rsidRDefault="00A82111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1.564.480,00</w:t>
            </w:r>
          </w:p>
        </w:tc>
        <w:tc>
          <w:tcPr>
            <w:tcW w:w="2738" w:type="dxa"/>
            <w:gridSpan w:val="2"/>
            <w:vAlign w:val="center"/>
          </w:tcPr>
          <w:p w14:paraId="7B4DFB5F" w14:textId="23BB69D7" w:rsidR="002A0046" w:rsidRPr="004B530C" w:rsidRDefault="00A82111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205.162,47</w:t>
            </w:r>
          </w:p>
        </w:tc>
        <w:tc>
          <w:tcPr>
            <w:tcW w:w="1842" w:type="dxa"/>
            <w:vAlign w:val="center"/>
          </w:tcPr>
          <w:p w14:paraId="79B16F75" w14:textId="2A0055C8" w:rsidR="002A0046" w:rsidRPr="004B530C" w:rsidRDefault="00140AA9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1.769.642,47</w:t>
            </w:r>
          </w:p>
        </w:tc>
      </w:tr>
      <w:tr w:rsidR="002A0046" w:rsidRPr="004B530C" w14:paraId="58D2DF1D" w14:textId="77777777" w:rsidTr="00E12DAE">
        <w:trPr>
          <w:trHeight w:val="785"/>
        </w:trPr>
        <w:tc>
          <w:tcPr>
            <w:tcW w:w="2917" w:type="dxa"/>
            <w:vAlign w:val="center"/>
          </w:tcPr>
          <w:p w14:paraId="58F4C909" w14:textId="138ED454" w:rsidR="002A0046" w:rsidRPr="004B530C" w:rsidRDefault="002A0046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</w:t>
            </w:r>
            <w:r w:rsidR="00572E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cijske</w:t>
            </w:r>
            <w:r w:rsidRPr="004B53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imovine</w:t>
            </w:r>
          </w:p>
        </w:tc>
        <w:tc>
          <w:tcPr>
            <w:tcW w:w="2137" w:type="dxa"/>
            <w:vAlign w:val="center"/>
          </w:tcPr>
          <w:p w14:paraId="41D14213" w14:textId="7FBD4750" w:rsidR="002A0046" w:rsidRPr="004B530C" w:rsidRDefault="009E5B6D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22.436,00</w:t>
            </w:r>
          </w:p>
        </w:tc>
        <w:tc>
          <w:tcPr>
            <w:tcW w:w="2738" w:type="dxa"/>
            <w:gridSpan w:val="2"/>
            <w:vAlign w:val="center"/>
          </w:tcPr>
          <w:p w14:paraId="13E0AAA5" w14:textId="15A0F288" w:rsidR="002A0046" w:rsidRPr="004B530C" w:rsidRDefault="003F32E2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35.426,48</w:t>
            </w:r>
          </w:p>
        </w:tc>
        <w:tc>
          <w:tcPr>
            <w:tcW w:w="1842" w:type="dxa"/>
            <w:vAlign w:val="center"/>
          </w:tcPr>
          <w:p w14:paraId="2CFF4A51" w14:textId="0F5BA9DF" w:rsidR="002A0046" w:rsidRPr="004B530C" w:rsidRDefault="00140AA9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57.862,48</w:t>
            </w:r>
          </w:p>
        </w:tc>
      </w:tr>
      <w:tr w:rsidR="002A0046" w:rsidRPr="004B530C" w14:paraId="67F61138" w14:textId="77777777" w:rsidTr="00E12DAE">
        <w:trPr>
          <w:trHeight w:val="718"/>
        </w:trPr>
        <w:tc>
          <w:tcPr>
            <w:tcW w:w="2917" w:type="dxa"/>
            <w:vAlign w:val="center"/>
          </w:tcPr>
          <w:p w14:paraId="2CC645A3" w14:textId="77777777" w:rsidR="002A0046" w:rsidRPr="004B530C" w:rsidRDefault="002A0046" w:rsidP="009E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2137" w:type="dxa"/>
            <w:vAlign w:val="bottom"/>
          </w:tcPr>
          <w:p w14:paraId="4D6A397C" w14:textId="36BA72CF" w:rsidR="002A0046" w:rsidRPr="004B530C" w:rsidRDefault="00A82111" w:rsidP="007B636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1.586.916,00</w:t>
            </w:r>
          </w:p>
        </w:tc>
        <w:tc>
          <w:tcPr>
            <w:tcW w:w="2738" w:type="dxa"/>
            <w:gridSpan w:val="2"/>
            <w:vAlign w:val="bottom"/>
          </w:tcPr>
          <w:p w14:paraId="7F2C1785" w14:textId="564E5F62" w:rsidR="002A0046" w:rsidRPr="004B530C" w:rsidRDefault="00A82111" w:rsidP="007B636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240.588,95</w:t>
            </w:r>
          </w:p>
        </w:tc>
        <w:tc>
          <w:tcPr>
            <w:tcW w:w="1842" w:type="dxa"/>
            <w:vAlign w:val="bottom"/>
          </w:tcPr>
          <w:p w14:paraId="598F4279" w14:textId="4963502E" w:rsidR="002A0046" w:rsidRPr="004B530C" w:rsidRDefault="00140AA9" w:rsidP="007B636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1.827.504,95</w:t>
            </w:r>
          </w:p>
        </w:tc>
      </w:tr>
      <w:tr w:rsidR="002A0046" w:rsidRPr="004B530C" w14:paraId="1B6DFAA0" w14:textId="77777777" w:rsidTr="00E12DAE">
        <w:trPr>
          <w:trHeight w:val="234"/>
        </w:trPr>
        <w:tc>
          <w:tcPr>
            <w:tcW w:w="2917" w:type="dxa"/>
            <w:vAlign w:val="center"/>
          </w:tcPr>
          <w:p w14:paraId="65FF7572" w14:textId="77777777" w:rsidR="002A0046" w:rsidRPr="004B530C" w:rsidRDefault="002A0046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7" w:type="dxa"/>
            <w:vAlign w:val="center"/>
          </w:tcPr>
          <w:p w14:paraId="14498A08" w14:textId="77777777" w:rsidR="002A0046" w:rsidRPr="004B530C" w:rsidRDefault="002A0046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44112CC" w14:textId="77777777" w:rsidR="002A0046" w:rsidRPr="004B530C" w:rsidRDefault="002A0046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Align w:val="center"/>
          </w:tcPr>
          <w:p w14:paraId="2F7AF74C" w14:textId="77777777" w:rsidR="002A0046" w:rsidRPr="004B530C" w:rsidRDefault="002A0046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A0046" w:rsidRPr="004B530C" w14:paraId="495EFFC2" w14:textId="77777777" w:rsidTr="00E12DAE">
        <w:trPr>
          <w:trHeight w:val="234"/>
        </w:trPr>
        <w:tc>
          <w:tcPr>
            <w:tcW w:w="2917" w:type="dxa"/>
            <w:vAlign w:val="center"/>
          </w:tcPr>
          <w:p w14:paraId="653481B2" w14:textId="7C200115" w:rsidR="002A0046" w:rsidRPr="004B530C" w:rsidRDefault="0083347C" w:rsidP="002A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VIŠAK/</w:t>
            </w:r>
            <w:r w:rsidR="002A0046" w:rsidRPr="004B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MANJAK</w:t>
            </w:r>
          </w:p>
        </w:tc>
        <w:tc>
          <w:tcPr>
            <w:tcW w:w="2137" w:type="dxa"/>
            <w:vAlign w:val="center"/>
          </w:tcPr>
          <w:p w14:paraId="2A6084FF" w14:textId="36DA02AC" w:rsidR="002A0046" w:rsidRPr="004B530C" w:rsidRDefault="007B6364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2738" w:type="dxa"/>
            <w:gridSpan w:val="2"/>
            <w:vAlign w:val="center"/>
          </w:tcPr>
          <w:p w14:paraId="53DB03BA" w14:textId="33499523" w:rsidR="002A0046" w:rsidRPr="004B530C" w:rsidRDefault="00F72DB7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-7.583,71</w:t>
            </w:r>
          </w:p>
        </w:tc>
        <w:tc>
          <w:tcPr>
            <w:tcW w:w="1842" w:type="dxa"/>
            <w:vAlign w:val="center"/>
          </w:tcPr>
          <w:p w14:paraId="142ACF4A" w14:textId="4349DA5F" w:rsidR="002A0046" w:rsidRPr="004B530C" w:rsidRDefault="00F72DB7" w:rsidP="007B6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-9.583,71</w:t>
            </w:r>
          </w:p>
        </w:tc>
      </w:tr>
    </w:tbl>
    <w:p w14:paraId="59868A89" w14:textId="77777777" w:rsidR="00814BC9" w:rsidRDefault="00814BC9" w:rsidP="0056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BE2B5" w14:textId="49557A7D" w:rsidR="002F53B3" w:rsidRDefault="00904B06" w:rsidP="009345F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30C">
        <w:rPr>
          <w:rFonts w:ascii="Times New Roman" w:hAnsi="Times New Roman" w:cs="Times New Roman"/>
          <w:bCs/>
          <w:sz w:val="24"/>
          <w:szCs w:val="24"/>
        </w:rPr>
        <w:t xml:space="preserve">Predloženim </w:t>
      </w:r>
      <w:r w:rsidR="00DD391E" w:rsidRPr="004B530C">
        <w:rPr>
          <w:rFonts w:ascii="Times New Roman" w:hAnsi="Times New Roman" w:cs="Times New Roman"/>
          <w:bCs/>
          <w:sz w:val="24"/>
          <w:szCs w:val="24"/>
        </w:rPr>
        <w:t>I</w:t>
      </w:r>
      <w:r w:rsidRPr="004B530C">
        <w:rPr>
          <w:rFonts w:ascii="Times New Roman" w:hAnsi="Times New Roman" w:cs="Times New Roman"/>
          <w:bCs/>
          <w:sz w:val="24"/>
          <w:szCs w:val="24"/>
        </w:rPr>
        <w:t xml:space="preserve">I. 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>Izmjenama i dopunama Financijskog plana</w:t>
      </w:r>
      <w:r w:rsidR="00286CD6" w:rsidRPr="004B530C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1B66F8">
        <w:rPr>
          <w:rFonts w:ascii="Times New Roman" w:hAnsi="Times New Roman" w:cs="Times New Roman"/>
          <w:bCs/>
          <w:sz w:val="24"/>
          <w:szCs w:val="24"/>
        </w:rPr>
        <w:t>4</w:t>
      </w:r>
      <w:r w:rsidR="00286CD6" w:rsidRPr="004B530C">
        <w:rPr>
          <w:rFonts w:ascii="Times New Roman" w:hAnsi="Times New Roman" w:cs="Times New Roman"/>
          <w:bCs/>
          <w:sz w:val="24"/>
          <w:szCs w:val="24"/>
        </w:rPr>
        <w:t>. godinu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 xml:space="preserve">, prihodi poslovanja povećali su se s početnih </w:t>
      </w:r>
      <w:r w:rsidR="001B66F8">
        <w:rPr>
          <w:rFonts w:ascii="Times New Roman" w:hAnsi="Times New Roman" w:cs="Times New Roman"/>
          <w:bCs/>
          <w:sz w:val="24"/>
          <w:szCs w:val="24"/>
        </w:rPr>
        <w:t>1.584.916,00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CD6" w:rsidRPr="004B530C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B66F8">
        <w:rPr>
          <w:rFonts w:ascii="Times New Roman" w:hAnsi="Times New Roman" w:cs="Times New Roman"/>
          <w:bCs/>
          <w:sz w:val="24"/>
          <w:szCs w:val="24"/>
        </w:rPr>
        <w:t>1.817.921,24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 xml:space="preserve"> eura, odnosno za </w:t>
      </w:r>
      <w:r w:rsidR="001B66F8">
        <w:rPr>
          <w:rFonts w:ascii="Times New Roman" w:hAnsi="Times New Roman" w:cs="Times New Roman"/>
          <w:bCs/>
          <w:sz w:val="24"/>
          <w:szCs w:val="24"/>
        </w:rPr>
        <w:t>233.005,24</w:t>
      </w:r>
      <w:r w:rsidR="003179E2" w:rsidRPr="004B530C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 dok su se rashodi poslovanja </w:t>
      </w:r>
      <w:r w:rsidR="00E9710C">
        <w:rPr>
          <w:rFonts w:ascii="Times New Roman" w:hAnsi="Times New Roman" w:cs="Times New Roman"/>
          <w:bCs/>
          <w:sz w:val="24"/>
          <w:szCs w:val="24"/>
        </w:rPr>
        <w:t xml:space="preserve">i rashodi za nabavu nefinancijske imovine 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povećali s početnih </w:t>
      </w:r>
      <w:r w:rsidR="001B66F8">
        <w:rPr>
          <w:rFonts w:ascii="Times New Roman" w:hAnsi="Times New Roman" w:cs="Times New Roman"/>
          <w:bCs/>
          <w:sz w:val="24"/>
          <w:szCs w:val="24"/>
        </w:rPr>
        <w:t>1.586.916,00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 eura na </w:t>
      </w:r>
      <w:r w:rsidR="001B66F8">
        <w:rPr>
          <w:rFonts w:ascii="Times New Roman" w:hAnsi="Times New Roman" w:cs="Times New Roman"/>
          <w:bCs/>
          <w:sz w:val="24"/>
          <w:szCs w:val="24"/>
        </w:rPr>
        <w:t>1.827.504,95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5428BE" w:rsidRPr="004B530C">
        <w:rPr>
          <w:rFonts w:ascii="Times New Roman" w:hAnsi="Times New Roman" w:cs="Times New Roman"/>
          <w:bCs/>
          <w:sz w:val="24"/>
          <w:szCs w:val="24"/>
        </w:rPr>
        <w:t xml:space="preserve">, odnosno za </w:t>
      </w:r>
      <w:r w:rsidR="001B66F8">
        <w:rPr>
          <w:rFonts w:ascii="Times New Roman" w:hAnsi="Times New Roman" w:cs="Times New Roman"/>
          <w:bCs/>
          <w:sz w:val="24"/>
          <w:szCs w:val="24"/>
        </w:rPr>
        <w:t>240.588,95</w:t>
      </w:r>
      <w:r w:rsidR="005428BE" w:rsidRPr="004B530C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>. Razlik</w:t>
      </w:r>
      <w:r w:rsidR="00814BC9">
        <w:rPr>
          <w:rFonts w:ascii="Times New Roman" w:hAnsi="Times New Roman" w:cs="Times New Roman"/>
          <w:bCs/>
          <w:sz w:val="24"/>
          <w:szCs w:val="24"/>
        </w:rPr>
        <w:t>a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4003">
        <w:rPr>
          <w:rFonts w:ascii="Times New Roman" w:hAnsi="Times New Roman" w:cs="Times New Roman"/>
          <w:bCs/>
          <w:sz w:val="24"/>
          <w:szCs w:val="24"/>
        </w:rPr>
        <w:t xml:space="preserve">između prihoda i rashoda </w:t>
      </w:r>
      <w:r w:rsidR="001F1830">
        <w:rPr>
          <w:rFonts w:ascii="Times New Roman" w:hAnsi="Times New Roman" w:cs="Times New Roman"/>
          <w:bCs/>
          <w:sz w:val="24"/>
          <w:szCs w:val="24"/>
        </w:rPr>
        <w:t xml:space="preserve">je manjak u </w:t>
      </w:r>
      <w:r w:rsidR="001B66F8">
        <w:rPr>
          <w:rFonts w:ascii="Times New Roman" w:hAnsi="Times New Roman" w:cs="Times New Roman"/>
          <w:bCs/>
          <w:sz w:val="24"/>
          <w:szCs w:val="24"/>
        </w:rPr>
        <w:t>iznos</w:t>
      </w:r>
      <w:r w:rsidR="001F1830">
        <w:rPr>
          <w:rFonts w:ascii="Times New Roman" w:hAnsi="Times New Roman" w:cs="Times New Roman"/>
          <w:bCs/>
          <w:sz w:val="24"/>
          <w:szCs w:val="24"/>
        </w:rPr>
        <w:t xml:space="preserve">u od </w:t>
      </w:r>
      <w:r w:rsidR="001B66F8">
        <w:rPr>
          <w:rFonts w:ascii="Times New Roman" w:hAnsi="Times New Roman" w:cs="Times New Roman"/>
          <w:bCs/>
          <w:sz w:val="24"/>
          <w:szCs w:val="24"/>
        </w:rPr>
        <w:t>9.583,71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1B66F8">
        <w:rPr>
          <w:rFonts w:ascii="Times New Roman" w:hAnsi="Times New Roman" w:cs="Times New Roman"/>
          <w:bCs/>
          <w:sz w:val="24"/>
          <w:szCs w:val="24"/>
        </w:rPr>
        <w:t xml:space="preserve"> što je jednako prenesenom višku poslovanja</w:t>
      </w:r>
      <w:r w:rsidR="00C65B83">
        <w:rPr>
          <w:rFonts w:ascii="Times New Roman" w:hAnsi="Times New Roman" w:cs="Times New Roman"/>
          <w:bCs/>
          <w:sz w:val="24"/>
          <w:szCs w:val="24"/>
        </w:rPr>
        <w:t xml:space="preserve"> koji je veći u odnosu na početne procjene</w:t>
      </w:r>
      <w:r w:rsidR="00D54E8A" w:rsidRPr="004B530C">
        <w:rPr>
          <w:rFonts w:ascii="Times New Roman" w:hAnsi="Times New Roman" w:cs="Times New Roman"/>
          <w:bCs/>
          <w:sz w:val="24"/>
          <w:szCs w:val="24"/>
        </w:rPr>
        <w:t>.</w:t>
      </w:r>
      <w:r w:rsidR="002F53B3">
        <w:rPr>
          <w:rFonts w:ascii="Times New Roman" w:hAnsi="Times New Roman" w:cs="Times New Roman"/>
          <w:bCs/>
          <w:sz w:val="24"/>
          <w:szCs w:val="24"/>
        </w:rPr>
        <w:t xml:space="preserve"> U Financijskom planu izmjenama i dopunama raspoređen je cijeli financijski rezultat u skladu s Odlukom o rasporedu financijskog rezultata za 2023. godinu, na rashode za zaposlene.</w:t>
      </w:r>
    </w:p>
    <w:p w14:paraId="67AA52F9" w14:textId="589DE0BB" w:rsidR="009345FE" w:rsidRPr="004B530C" w:rsidRDefault="002F53B3" w:rsidP="00D849E6">
      <w:pPr>
        <w:pStyle w:val="Bezproreda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lastRenderedPageBreak/>
        <w:t xml:space="preserve"> </w:t>
      </w:r>
      <w:r w:rsidR="00106890" w:rsidRPr="004B530C">
        <w:rPr>
          <w:rFonts w:ascii="Times New Roman" w:hAnsi="Times New Roman" w:cs="Times New Roman"/>
          <w:bCs/>
          <w:sz w:val="24"/>
          <w:szCs w:val="24"/>
          <w:u w:val="single"/>
        </w:rPr>
        <w:t>P</w:t>
      </w:r>
      <w:r w:rsidR="009345FE" w:rsidRPr="004B530C">
        <w:rPr>
          <w:rFonts w:ascii="Times New Roman" w:hAnsi="Times New Roman" w:cs="Times New Roman"/>
          <w:bCs/>
          <w:sz w:val="24"/>
          <w:szCs w:val="24"/>
          <w:u w:val="single"/>
        </w:rPr>
        <w:t xml:space="preserve">ovećanje prihoda poslovanja </w:t>
      </w:r>
      <w:r w:rsidR="00B45E92">
        <w:rPr>
          <w:rFonts w:ascii="Times New Roman" w:hAnsi="Times New Roman" w:cs="Times New Roman"/>
          <w:bCs/>
          <w:sz w:val="24"/>
          <w:szCs w:val="24"/>
          <w:u w:val="single"/>
        </w:rPr>
        <w:t xml:space="preserve">od 14,7 % </w:t>
      </w:r>
      <w:r w:rsidR="009345FE" w:rsidRPr="004B530C">
        <w:rPr>
          <w:rFonts w:ascii="Times New Roman" w:hAnsi="Times New Roman" w:cs="Times New Roman"/>
          <w:bCs/>
          <w:sz w:val="24"/>
          <w:szCs w:val="24"/>
          <w:u w:val="single"/>
        </w:rPr>
        <w:t>odnosi se na:</w:t>
      </w:r>
    </w:p>
    <w:p w14:paraId="1DE08953" w14:textId="06F440E5" w:rsidR="000E2FAE" w:rsidRDefault="00B2568A" w:rsidP="00B2568A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A6691" w:rsidRPr="00B2568A">
        <w:rPr>
          <w:rFonts w:ascii="Times New Roman" w:hAnsi="Times New Roman" w:cs="Times New Roman"/>
          <w:bCs/>
          <w:sz w:val="24"/>
          <w:szCs w:val="24"/>
        </w:rPr>
        <w:t>ovećanj</w:t>
      </w:r>
      <w:r w:rsidR="00E471AD" w:rsidRPr="00B2568A">
        <w:rPr>
          <w:rFonts w:ascii="Times New Roman" w:hAnsi="Times New Roman" w:cs="Times New Roman"/>
          <w:bCs/>
          <w:sz w:val="24"/>
          <w:szCs w:val="24"/>
        </w:rPr>
        <w:t>e</w:t>
      </w:r>
      <w:r w:rsidR="002A6691" w:rsidRPr="00B2568A">
        <w:rPr>
          <w:rFonts w:ascii="Times New Roman" w:hAnsi="Times New Roman" w:cs="Times New Roman"/>
          <w:bCs/>
          <w:sz w:val="24"/>
          <w:szCs w:val="24"/>
        </w:rPr>
        <w:t xml:space="preserve"> sredstava </w:t>
      </w:r>
      <w:r w:rsidR="00A8732E" w:rsidRPr="00B2568A">
        <w:rPr>
          <w:rFonts w:ascii="Times New Roman" w:hAnsi="Times New Roman" w:cs="Times New Roman"/>
          <w:bCs/>
          <w:sz w:val="24"/>
          <w:szCs w:val="24"/>
        </w:rPr>
        <w:t>osiguran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>ih</w:t>
      </w:r>
      <w:r w:rsidR="00A8732E" w:rsidRPr="00B2568A">
        <w:rPr>
          <w:rFonts w:ascii="Times New Roman" w:hAnsi="Times New Roman" w:cs="Times New Roman"/>
          <w:bCs/>
          <w:sz w:val="24"/>
          <w:szCs w:val="24"/>
        </w:rPr>
        <w:t xml:space="preserve"> od strane Osnivača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0E2FAE" w:rsidRPr="00B2568A">
        <w:rPr>
          <w:rFonts w:ascii="Times New Roman" w:hAnsi="Times New Roman" w:cs="Times New Roman"/>
          <w:bCs/>
          <w:sz w:val="24"/>
          <w:szCs w:val="24"/>
        </w:rPr>
        <w:t xml:space="preserve">z izvora </w:t>
      </w:r>
      <w:r w:rsidR="00677034" w:rsidRPr="00B2568A">
        <w:rPr>
          <w:rFonts w:ascii="Times New Roman" w:hAnsi="Times New Roman" w:cs="Times New Roman"/>
          <w:bCs/>
          <w:sz w:val="24"/>
          <w:szCs w:val="24"/>
        </w:rPr>
        <w:t>111</w:t>
      </w:r>
      <w:r w:rsidR="00541292">
        <w:rPr>
          <w:rFonts w:ascii="Times New Roman" w:hAnsi="Times New Roman" w:cs="Times New Roman"/>
          <w:bCs/>
          <w:sz w:val="24"/>
          <w:szCs w:val="24"/>
        </w:rPr>
        <w:t>,</w:t>
      </w:r>
      <w:r w:rsidR="000E2FAE" w:rsidRPr="00B25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9C1">
        <w:rPr>
          <w:rFonts w:ascii="Times New Roman" w:hAnsi="Times New Roman" w:cs="Times New Roman"/>
          <w:bCs/>
          <w:sz w:val="24"/>
          <w:szCs w:val="24"/>
        </w:rPr>
        <w:t xml:space="preserve">u ukupnom 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>iznos</w:t>
      </w:r>
      <w:r w:rsidR="00CC79C1">
        <w:rPr>
          <w:rFonts w:ascii="Times New Roman" w:hAnsi="Times New Roman" w:cs="Times New Roman"/>
          <w:bCs/>
          <w:sz w:val="24"/>
          <w:szCs w:val="24"/>
        </w:rPr>
        <w:t>u</w:t>
      </w:r>
      <w:r w:rsidR="000E2FAE" w:rsidRPr="00B25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9C1">
        <w:rPr>
          <w:rFonts w:ascii="Times New Roman" w:hAnsi="Times New Roman" w:cs="Times New Roman"/>
          <w:bCs/>
          <w:sz w:val="24"/>
          <w:szCs w:val="24"/>
        </w:rPr>
        <w:t>od</w:t>
      </w:r>
      <w:r w:rsidR="005F5030" w:rsidRPr="00B25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1AD" w:rsidRPr="00B2568A">
        <w:rPr>
          <w:rFonts w:ascii="Times New Roman" w:hAnsi="Times New Roman" w:cs="Times New Roman"/>
          <w:bCs/>
          <w:sz w:val="24"/>
          <w:szCs w:val="24"/>
        </w:rPr>
        <w:t>232.719,</w:t>
      </w:r>
      <w:r w:rsidR="00F77880" w:rsidRPr="00B2568A">
        <w:rPr>
          <w:rFonts w:ascii="Times New Roman" w:hAnsi="Times New Roman" w:cs="Times New Roman"/>
          <w:bCs/>
          <w:sz w:val="24"/>
          <w:szCs w:val="24"/>
        </w:rPr>
        <w:t>00</w:t>
      </w:r>
      <w:r w:rsidR="00C01476" w:rsidRPr="00B2568A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CC79C1">
        <w:rPr>
          <w:rFonts w:ascii="Times New Roman" w:hAnsi="Times New Roman" w:cs="Times New Roman"/>
          <w:bCs/>
          <w:sz w:val="24"/>
          <w:szCs w:val="24"/>
        </w:rPr>
        <w:t>čin</w:t>
      </w:r>
      <w:r w:rsidR="00541292">
        <w:rPr>
          <w:rFonts w:ascii="Times New Roman" w:hAnsi="Times New Roman" w:cs="Times New Roman"/>
          <w:bCs/>
          <w:sz w:val="24"/>
          <w:szCs w:val="24"/>
        </w:rPr>
        <w:t>e</w:t>
      </w:r>
      <w:r w:rsidR="00CC79C1">
        <w:rPr>
          <w:rFonts w:ascii="Times New Roman" w:hAnsi="Times New Roman" w:cs="Times New Roman"/>
          <w:bCs/>
          <w:sz w:val="24"/>
          <w:szCs w:val="24"/>
        </w:rPr>
        <w:t xml:space="preserve"> ga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 xml:space="preserve"> prihod</w:t>
      </w:r>
      <w:r w:rsidR="00541292">
        <w:rPr>
          <w:rFonts w:ascii="Times New Roman" w:hAnsi="Times New Roman" w:cs="Times New Roman"/>
          <w:bCs/>
          <w:sz w:val="24"/>
          <w:szCs w:val="24"/>
        </w:rPr>
        <w:t>i</w:t>
      </w:r>
      <w:r w:rsidR="006A2D47" w:rsidRPr="00B2568A">
        <w:rPr>
          <w:rFonts w:ascii="Times New Roman" w:hAnsi="Times New Roman" w:cs="Times New Roman"/>
          <w:bCs/>
          <w:sz w:val="24"/>
          <w:szCs w:val="24"/>
        </w:rPr>
        <w:t xml:space="preserve"> iz nadležnog proračuna</w:t>
      </w:r>
      <w:r w:rsidR="005F5030" w:rsidRPr="00B2568A">
        <w:rPr>
          <w:rFonts w:ascii="Times New Roman" w:hAnsi="Times New Roman" w:cs="Times New Roman"/>
          <w:bCs/>
          <w:sz w:val="24"/>
          <w:szCs w:val="24"/>
        </w:rPr>
        <w:t xml:space="preserve"> za financiranje rashoda poslovanja u iznosu od 197.563,00 eura te prihod</w:t>
      </w:r>
      <w:r w:rsidR="00541292">
        <w:rPr>
          <w:rFonts w:ascii="Times New Roman" w:hAnsi="Times New Roman" w:cs="Times New Roman"/>
          <w:bCs/>
          <w:sz w:val="24"/>
          <w:szCs w:val="24"/>
        </w:rPr>
        <w:t>i</w:t>
      </w:r>
      <w:r w:rsidR="005F5030" w:rsidRPr="00B25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1FA" w:rsidRPr="00B2568A">
        <w:rPr>
          <w:rFonts w:ascii="Times New Roman" w:hAnsi="Times New Roman" w:cs="Times New Roman"/>
          <w:bCs/>
          <w:sz w:val="24"/>
          <w:szCs w:val="24"/>
        </w:rPr>
        <w:t xml:space="preserve">iz nadležnog proračuna </w:t>
      </w:r>
      <w:r w:rsidR="005F5030" w:rsidRPr="00B2568A">
        <w:rPr>
          <w:rFonts w:ascii="Times New Roman" w:hAnsi="Times New Roman" w:cs="Times New Roman"/>
          <w:bCs/>
          <w:sz w:val="24"/>
          <w:szCs w:val="24"/>
        </w:rPr>
        <w:t>za financiranje rashoda za nabavu nefinancijske imovine u iznosu od 35.156,00 eura</w:t>
      </w:r>
      <w:r w:rsidR="00C01476" w:rsidRPr="00B256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624313" w14:textId="77777777" w:rsidR="00814BC9" w:rsidRPr="00B2568A" w:rsidRDefault="00814BC9" w:rsidP="00814BC9">
      <w:pPr>
        <w:pStyle w:val="Odlomakpopisa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C39E3" w14:textId="4F273924" w:rsidR="00560000" w:rsidRPr="000B704E" w:rsidRDefault="00814BC9" w:rsidP="00B2568A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601FA" w:rsidRPr="00B2568A">
        <w:rPr>
          <w:rFonts w:ascii="Times New Roman" w:hAnsi="Times New Roman" w:cs="Times New Roman"/>
          <w:bCs/>
          <w:sz w:val="24"/>
          <w:szCs w:val="24"/>
        </w:rPr>
        <w:t>ovećanje</w:t>
      </w:r>
      <w:r w:rsidR="00560000" w:rsidRPr="00B2568A">
        <w:rPr>
          <w:rFonts w:ascii="Times New Roman" w:hAnsi="Times New Roman" w:cs="Times New Roman"/>
          <w:bCs/>
          <w:sz w:val="24"/>
          <w:szCs w:val="24"/>
        </w:rPr>
        <w:t xml:space="preserve"> prihoda za posebne </w:t>
      </w:r>
      <w:r w:rsidR="00560000" w:rsidRPr="00FE1FFA">
        <w:rPr>
          <w:rFonts w:ascii="Times New Roman" w:hAnsi="Times New Roman" w:cs="Times New Roman"/>
          <w:bCs/>
          <w:sz w:val="24"/>
          <w:szCs w:val="24"/>
        </w:rPr>
        <w:t>namjene</w:t>
      </w:r>
      <w:r w:rsidR="009F78C0" w:rsidRPr="00FE1F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06E" w:rsidRPr="00FE1FFA">
        <w:rPr>
          <w:rFonts w:ascii="Times New Roman" w:hAnsi="Times New Roman" w:cs="Times New Roman"/>
          <w:bCs/>
          <w:sz w:val="24"/>
          <w:szCs w:val="24"/>
        </w:rPr>
        <w:t xml:space="preserve">u okviru </w:t>
      </w:r>
      <w:r w:rsidR="009F78C0" w:rsidRPr="00FE1FFA">
        <w:rPr>
          <w:rFonts w:ascii="Times New Roman" w:hAnsi="Times New Roman" w:cs="Times New Roman"/>
          <w:bCs/>
          <w:sz w:val="24"/>
          <w:szCs w:val="24"/>
        </w:rPr>
        <w:t>izvor</w:t>
      </w:r>
      <w:r w:rsidR="00D7106E" w:rsidRPr="00FE1FFA">
        <w:rPr>
          <w:rFonts w:ascii="Times New Roman" w:hAnsi="Times New Roman" w:cs="Times New Roman"/>
          <w:bCs/>
          <w:sz w:val="24"/>
          <w:szCs w:val="24"/>
        </w:rPr>
        <w:t>a</w:t>
      </w:r>
      <w:r w:rsidR="009F78C0" w:rsidRPr="00FE1FFA">
        <w:rPr>
          <w:rFonts w:ascii="Times New Roman" w:hAnsi="Times New Roman" w:cs="Times New Roman"/>
          <w:bCs/>
          <w:sz w:val="24"/>
          <w:szCs w:val="24"/>
        </w:rPr>
        <w:t xml:space="preserve"> 431</w:t>
      </w:r>
      <w:r w:rsidR="00541292" w:rsidRPr="00FE1FFA">
        <w:rPr>
          <w:rFonts w:ascii="Times New Roman" w:hAnsi="Times New Roman" w:cs="Times New Roman"/>
          <w:bCs/>
          <w:sz w:val="24"/>
          <w:szCs w:val="24"/>
        </w:rPr>
        <w:t xml:space="preserve"> u iznosu od 286,24 eura</w:t>
      </w:r>
      <w:r w:rsidR="00F601FA" w:rsidRPr="00FE1FFA">
        <w:rPr>
          <w:rFonts w:ascii="Times New Roman" w:hAnsi="Times New Roman" w:cs="Times New Roman"/>
          <w:bCs/>
          <w:sz w:val="24"/>
          <w:szCs w:val="24"/>
        </w:rPr>
        <w:t xml:space="preserve"> ostvaren</w:t>
      </w:r>
      <w:r w:rsidR="00541292" w:rsidRPr="00FE1FFA">
        <w:rPr>
          <w:rFonts w:ascii="Times New Roman" w:hAnsi="Times New Roman" w:cs="Times New Roman"/>
          <w:bCs/>
          <w:sz w:val="24"/>
          <w:szCs w:val="24"/>
        </w:rPr>
        <w:t>ih</w:t>
      </w:r>
      <w:r w:rsidR="00F601FA" w:rsidRPr="00FE1FFA">
        <w:rPr>
          <w:rFonts w:ascii="Times New Roman" w:hAnsi="Times New Roman" w:cs="Times New Roman"/>
          <w:bCs/>
          <w:sz w:val="24"/>
          <w:szCs w:val="24"/>
        </w:rPr>
        <w:t xml:space="preserve"> na temelju refundacije rashoda iz prethodnih godina</w:t>
      </w:r>
      <w:r w:rsidR="00263D7F" w:rsidRPr="00FE1FF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702C6" w:rsidRPr="00FE1FFA">
        <w:rPr>
          <w:rFonts w:ascii="Times New Roman" w:hAnsi="Times New Roman" w:cs="Times New Roman"/>
          <w:bCs/>
          <w:sz w:val="24"/>
          <w:szCs w:val="24"/>
        </w:rPr>
        <w:t xml:space="preserve">HZZO - </w:t>
      </w:r>
      <w:r w:rsidR="0089381C" w:rsidRPr="00FE1FFA">
        <w:rPr>
          <w:rFonts w:ascii="Times New Roman" w:hAnsi="Times New Roman" w:cs="Times New Roman"/>
          <w:bCs/>
          <w:sz w:val="24"/>
          <w:szCs w:val="24"/>
        </w:rPr>
        <w:t>prethodni</w:t>
      </w:r>
      <w:r w:rsidR="00263D7F" w:rsidRPr="00FE1FFA">
        <w:rPr>
          <w:rFonts w:ascii="Times New Roman" w:hAnsi="Times New Roman" w:cs="Times New Roman"/>
          <w:bCs/>
          <w:sz w:val="24"/>
          <w:szCs w:val="24"/>
        </w:rPr>
        <w:t xml:space="preserve"> pregled</w:t>
      </w:r>
      <w:r w:rsidR="00D377D0" w:rsidRPr="00FE1FFA">
        <w:rPr>
          <w:rFonts w:ascii="Times New Roman" w:hAnsi="Times New Roman" w:cs="Times New Roman"/>
          <w:bCs/>
          <w:sz w:val="24"/>
          <w:szCs w:val="24"/>
        </w:rPr>
        <w:t>i</w:t>
      </w:r>
      <w:r w:rsidR="0089381C" w:rsidRPr="00FE1FFA">
        <w:rPr>
          <w:rFonts w:ascii="Times New Roman" w:hAnsi="Times New Roman" w:cs="Times New Roman"/>
          <w:bCs/>
          <w:sz w:val="24"/>
          <w:szCs w:val="24"/>
        </w:rPr>
        <w:t xml:space="preserve"> radnika</w:t>
      </w:r>
      <w:r w:rsidR="00541292" w:rsidRPr="00FE1F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292" w:rsidRPr="00D37B36">
        <w:rPr>
          <w:rFonts w:ascii="Times New Roman" w:hAnsi="Times New Roman" w:cs="Times New Roman"/>
          <w:bCs/>
          <w:sz w:val="24"/>
          <w:szCs w:val="24"/>
        </w:rPr>
        <w:t>te</w:t>
      </w:r>
      <w:r w:rsidR="00263D7F" w:rsidRPr="00D37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FFA" w:rsidRPr="00D37B36">
        <w:rPr>
          <w:rFonts w:ascii="Times New Roman" w:hAnsi="Times New Roman" w:cs="Times New Roman"/>
          <w:bCs/>
          <w:sz w:val="24"/>
          <w:szCs w:val="24"/>
        </w:rPr>
        <w:t>Hrvatskog z</w:t>
      </w:r>
      <w:r w:rsidR="00B06F36" w:rsidRPr="00D37B36">
        <w:rPr>
          <w:rFonts w:ascii="Times New Roman" w:hAnsi="Times New Roman" w:cs="Times New Roman"/>
          <w:bCs/>
          <w:sz w:val="24"/>
          <w:szCs w:val="24"/>
        </w:rPr>
        <w:t>avoda</w:t>
      </w:r>
      <w:r w:rsidR="00263D7F" w:rsidRPr="00D37B36">
        <w:rPr>
          <w:rFonts w:ascii="Times New Roman" w:hAnsi="Times New Roman" w:cs="Times New Roman"/>
          <w:bCs/>
          <w:sz w:val="24"/>
          <w:szCs w:val="24"/>
        </w:rPr>
        <w:t xml:space="preserve"> za socijaln</w:t>
      </w:r>
      <w:r w:rsidR="00FE1FFA" w:rsidRPr="00D37B36">
        <w:rPr>
          <w:rFonts w:ascii="Times New Roman" w:hAnsi="Times New Roman" w:cs="Times New Roman"/>
          <w:bCs/>
          <w:sz w:val="24"/>
          <w:szCs w:val="24"/>
        </w:rPr>
        <w:t>i rad</w:t>
      </w:r>
      <w:r w:rsidR="00263D7F" w:rsidRPr="00D37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399" w:rsidRPr="00D37B36">
        <w:rPr>
          <w:rFonts w:ascii="Times New Roman" w:hAnsi="Times New Roman" w:cs="Times New Roman"/>
          <w:bCs/>
          <w:sz w:val="24"/>
          <w:szCs w:val="24"/>
        </w:rPr>
        <w:t>-</w:t>
      </w:r>
      <w:r w:rsidR="00263D7F" w:rsidRPr="00D37B36">
        <w:rPr>
          <w:rFonts w:ascii="Times New Roman" w:hAnsi="Times New Roman" w:cs="Times New Roman"/>
          <w:bCs/>
          <w:sz w:val="24"/>
          <w:szCs w:val="24"/>
        </w:rPr>
        <w:t xml:space="preserve"> podmirenje </w:t>
      </w:r>
      <w:r w:rsidR="00541292" w:rsidRPr="00D37B36">
        <w:rPr>
          <w:rFonts w:ascii="Times New Roman" w:hAnsi="Times New Roman" w:cs="Times New Roman"/>
          <w:bCs/>
          <w:sz w:val="24"/>
          <w:szCs w:val="24"/>
        </w:rPr>
        <w:t>rashoda</w:t>
      </w:r>
      <w:r w:rsidR="00263D7F" w:rsidRPr="00D37B36">
        <w:rPr>
          <w:rFonts w:ascii="Times New Roman" w:hAnsi="Times New Roman" w:cs="Times New Roman"/>
          <w:bCs/>
          <w:sz w:val="24"/>
          <w:szCs w:val="24"/>
        </w:rPr>
        <w:t xml:space="preserve"> za lijekove)</w:t>
      </w:r>
      <w:r w:rsidR="00560000" w:rsidRPr="00D37B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EB163" w14:textId="77777777" w:rsidR="00BC5F7A" w:rsidRPr="000B704E" w:rsidRDefault="00BC5F7A" w:rsidP="00BC5F7A">
      <w:pPr>
        <w:pStyle w:val="Bezproreda"/>
        <w:rPr>
          <w:color w:val="FF0000"/>
        </w:rPr>
      </w:pPr>
    </w:p>
    <w:p w14:paraId="0DC20736" w14:textId="70C8F1B5" w:rsidR="009345FE" w:rsidRPr="004B530C" w:rsidRDefault="00106890" w:rsidP="009345FE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B530C">
        <w:rPr>
          <w:rFonts w:ascii="Times New Roman" w:hAnsi="Times New Roman" w:cs="Times New Roman"/>
          <w:bCs/>
          <w:sz w:val="24"/>
          <w:szCs w:val="24"/>
          <w:u w:val="single"/>
        </w:rPr>
        <w:t>P</w:t>
      </w:r>
      <w:r w:rsidR="009345FE" w:rsidRPr="004B530C">
        <w:rPr>
          <w:rFonts w:ascii="Times New Roman" w:hAnsi="Times New Roman" w:cs="Times New Roman"/>
          <w:bCs/>
          <w:sz w:val="24"/>
          <w:szCs w:val="24"/>
          <w:u w:val="single"/>
        </w:rPr>
        <w:t xml:space="preserve">ovećanje rashoda poslovanja </w:t>
      </w:r>
      <w:r w:rsidR="00502474" w:rsidRPr="004B530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 rashoda za nabavu nefinancijske imovine </w:t>
      </w:r>
      <w:r w:rsidR="00B45E92">
        <w:rPr>
          <w:rFonts w:ascii="Times New Roman" w:hAnsi="Times New Roman" w:cs="Times New Roman"/>
          <w:bCs/>
          <w:sz w:val="24"/>
          <w:szCs w:val="24"/>
          <w:u w:val="single"/>
        </w:rPr>
        <w:t xml:space="preserve">od 15,16 % </w:t>
      </w:r>
      <w:r w:rsidR="009345FE" w:rsidRPr="004B530C">
        <w:rPr>
          <w:rFonts w:ascii="Times New Roman" w:hAnsi="Times New Roman" w:cs="Times New Roman"/>
          <w:bCs/>
          <w:sz w:val="24"/>
          <w:szCs w:val="24"/>
          <w:u w:val="single"/>
        </w:rPr>
        <w:t>odnosi se na:</w:t>
      </w:r>
    </w:p>
    <w:p w14:paraId="453F7F6C" w14:textId="65B58666" w:rsidR="002F5778" w:rsidRPr="00944D08" w:rsidRDefault="00DD3455" w:rsidP="00DE06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D08">
        <w:rPr>
          <w:rFonts w:ascii="Times New Roman" w:hAnsi="Times New Roman" w:cs="Times New Roman"/>
          <w:sz w:val="24"/>
          <w:szCs w:val="24"/>
        </w:rPr>
        <w:t xml:space="preserve">- značajno </w:t>
      </w:r>
      <w:r w:rsidR="00D67680" w:rsidRPr="00944D08">
        <w:rPr>
          <w:rFonts w:ascii="Times New Roman" w:hAnsi="Times New Roman" w:cs="Times New Roman"/>
          <w:sz w:val="24"/>
          <w:szCs w:val="24"/>
        </w:rPr>
        <w:t xml:space="preserve">povećanje rashoda </w:t>
      </w:r>
      <w:r w:rsidR="00D06B8F" w:rsidRPr="00944D08">
        <w:rPr>
          <w:rFonts w:ascii="Times New Roman" w:hAnsi="Times New Roman" w:cs="Times New Roman"/>
          <w:sz w:val="24"/>
          <w:szCs w:val="24"/>
        </w:rPr>
        <w:t>za plaće za redovan rad</w:t>
      </w:r>
      <w:r w:rsidR="005A400A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937671" w:rsidRPr="00944D08">
        <w:rPr>
          <w:rFonts w:ascii="Times New Roman" w:hAnsi="Times New Roman" w:cs="Times New Roman"/>
          <w:sz w:val="24"/>
          <w:szCs w:val="24"/>
        </w:rPr>
        <w:t>sukladno</w:t>
      </w:r>
      <w:r w:rsidR="000B704E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937671" w:rsidRPr="00944D08">
        <w:rPr>
          <w:rFonts w:ascii="Times New Roman" w:hAnsi="Times New Roman" w:cs="Times New Roman"/>
          <w:sz w:val="24"/>
          <w:szCs w:val="24"/>
        </w:rPr>
        <w:t>Odluci o koeficijentima složenosti poslova radnih mjesta u Domu „Volosko“</w:t>
      </w:r>
      <w:r w:rsidR="000B2A84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041E59" w:rsidRPr="00944D08">
        <w:rPr>
          <w:rFonts w:ascii="Times New Roman" w:hAnsi="Times New Roman" w:cs="Times New Roman"/>
          <w:sz w:val="24"/>
          <w:szCs w:val="24"/>
        </w:rPr>
        <w:t>koja se počela primjenjivati</w:t>
      </w:r>
      <w:r w:rsidR="000B2A84" w:rsidRPr="00944D08">
        <w:rPr>
          <w:rFonts w:ascii="Times New Roman" w:hAnsi="Times New Roman" w:cs="Times New Roman"/>
          <w:sz w:val="24"/>
          <w:szCs w:val="24"/>
        </w:rPr>
        <w:t xml:space="preserve"> pri obračunu plaće za mjesec ožujak 2024. godine</w:t>
      </w:r>
      <w:r w:rsidRPr="00944D08">
        <w:rPr>
          <w:rFonts w:ascii="Times New Roman" w:hAnsi="Times New Roman" w:cs="Times New Roman"/>
          <w:sz w:val="24"/>
          <w:szCs w:val="24"/>
        </w:rPr>
        <w:t xml:space="preserve">. Na povećanje rashoda </w:t>
      </w:r>
      <w:r w:rsidR="00830767" w:rsidRPr="00944D08">
        <w:rPr>
          <w:rFonts w:ascii="Times New Roman" w:hAnsi="Times New Roman" w:cs="Times New Roman"/>
          <w:sz w:val="24"/>
          <w:szCs w:val="24"/>
        </w:rPr>
        <w:t>za zaposlenike</w:t>
      </w:r>
      <w:r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830767" w:rsidRPr="00944D08">
        <w:rPr>
          <w:rFonts w:ascii="Times New Roman" w:hAnsi="Times New Roman" w:cs="Times New Roman"/>
          <w:sz w:val="24"/>
          <w:szCs w:val="24"/>
        </w:rPr>
        <w:t xml:space="preserve">u 2024. godini </w:t>
      </w:r>
      <w:r w:rsidRPr="00944D08">
        <w:rPr>
          <w:rFonts w:ascii="Times New Roman" w:hAnsi="Times New Roman" w:cs="Times New Roman"/>
          <w:sz w:val="24"/>
          <w:szCs w:val="24"/>
        </w:rPr>
        <w:t xml:space="preserve">utjecala je i </w:t>
      </w:r>
      <w:r w:rsidR="002B4454" w:rsidRPr="00944D08">
        <w:rPr>
          <w:rFonts w:ascii="Times New Roman" w:hAnsi="Times New Roman" w:cs="Times New Roman"/>
          <w:sz w:val="24"/>
          <w:szCs w:val="24"/>
        </w:rPr>
        <w:t xml:space="preserve">nova </w:t>
      </w:r>
      <w:r w:rsidRPr="00944D08">
        <w:rPr>
          <w:rFonts w:ascii="Times New Roman" w:hAnsi="Times New Roman" w:cs="Times New Roman"/>
          <w:sz w:val="24"/>
          <w:szCs w:val="24"/>
        </w:rPr>
        <w:t>isplata godišnje nagrade za uskršnje blagdane u iznosu od 100,00 eura po zaposleniku u skladu s Temeljnim kolektivnim ugovorom za zaposlenike u javnim službama (NN 29/2024)</w:t>
      </w:r>
      <w:r w:rsidR="002B4454" w:rsidRPr="00944D08">
        <w:rPr>
          <w:rFonts w:ascii="Times New Roman" w:hAnsi="Times New Roman" w:cs="Times New Roman"/>
          <w:sz w:val="24"/>
          <w:szCs w:val="24"/>
        </w:rPr>
        <w:t>. Povećanje rashoda odnosi se i</w:t>
      </w:r>
      <w:r w:rsidR="000C30C9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3D1F04" w:rsidRPr="00944D08">
        <w:rPr>
          <w:rFonts w:ascii="Times New Roman" w:hAnsi="Times New Roman" w:cs="Times New Roman"/>
          <w:sz w:val="24"/>
          <w:szCs w:val="24"/>
        </w:rPr>
        <w:t>na</w:t>
      </w:r>
      <w:r w:rsidR="000C30C9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="00830767" w:rsidRPr="00944D08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0C30C9" w:rsidRPr="00944D08">
        <w:rPr>
          <w:rFonts w:ascii="Times New Roman" w:hAnsi="Times New Roman" w:cs="Times New Roman"/>
          <w:sz w:val="24"/>
          <w:szCs w:val="24"/>
        </w:rPr>
        <w:t>rashod</w:t>
      </w:r>
      <w:r w:rsidR="00830767" w:rsidRPr="00944D08">
        <w:rPr>
          <w:rFonts w:ascii="Times New Roman" w:hAnsi="Times New Roman" w:cs="Times New Roman"/>
          <w:sz w:val="24"/>
          <w:szCs w:val="24"/>
        </w:rPr>
        <w:t>a</w:t>
      </w:r>
      <w:r w:rsidR="000C30C9" w:rsidRPr="00944D08">
        <w:rPr>
          <w:rFonts w:ascii="Times New Roman" w:hAnsi="Times New Roman" w:cs="Times New Roman"/>
          <w:sz w:val="24"/>
          <w:szCs w:val="24"/>
        </w:rPr>
        <w:t xml:space="preserve"> za </w:t>
      </w:r>
      <w:r w:rsidR="00BC7EB1" w:rsidRPr="00944D08">
        <w:rPr>
          <w:rFonts w:ascii="Times New Roman" w:hAnsi="Times New Roman" w:cs="Times New Roman"/>
          <w:sz w:val="24"/>
          <w:szCs w:val="24"/>
        </w:rPr>
        <w:t>usluge tekućeg i investicijskog održavanja (</w:t>
      </w:r>
      <w:r w:rsidR="00FB2BDF" w:rsidRPr="00944D08">
        <w:rPr>
          <w:rFonts w:ascii="Times New Roman" w:hAnsi="Times New Roman" w:cs="Times New Roman"/>
          <w:sz w:val="24"/>
          <w:szCs w:val="24"/>
        </w:rPr>
        <w:t xml:space="preserve">za </w:t>
      </w:r>
      <w:r w:rsidR="002F375A" w:rsidRPr="00944D08">
        <w:rPr>
          <w:rFonts w:ascii="Times New Roman" w:hAnsi="Times New Roman" w:cs="Times New Roman"/>
          <w:sz w:val="24"/>
          <w:szCs w:val="24"/>
        </w:rPr>
        <w:t>sanaciju stolarije na sobama – objekt „C“</w:t>
      </w:r>
      <w:r w:rsidR="00497D4C" w:rsidRPr="00944D08">
        <w:rPr>
          <w:rFonts w:ascii="Times New Roman" w:hAnsi="Times New Roman" w:cs="Times New Roman"/>
          <w:sz w:val="24"/>
          <w:szCs w:val="24"/>
        </w:rPr>
        <w:t xml:space="preserve"> Doma za starije osobe „Volosko“ Opatija</w:t>
      </w:r>
      <w:r w:rsidR="00BC7EB1" w:rsidRPr="00944D08">
        <w:rPr>
          <w:rFonts w:ascii="Times New Roman" w:hAnsi="Times New Roman" w:cs="Times New Roman"/>
          <w:sz w:val="24"/>
          <w:szCs w:val="24"/>
        </w:rPr>
        <w:t>)</w:t>
      </w:r>
      <w:r w:rsidR="00974ED5" w:rsidRPr="00944D08">
        <w:rPr>
          <w:rFonts w:ascii="Times New Roman" w:hAnsi="Times New Roman" w:cs="Times New Roman"/>
          <w:sz w:val="24"/>
          <w:szCs w:val="24"/>
        </w:rPr>
        <w:t>.</w:t>
      </w:r>
    </w:p>
    <w:p w14:paraId="5405B64E" w14:textId="77777777" w:rsidR="00513D13" w:rsidRPr="00944D08" w:rsidRDefault="00513D13" w:rsidP="00513D13">
      <w:pPr>
        <w:pStyle w:val="Bezproreda"/>
      </w:pPr>
    </w:p>
    <w:p w14:paraId="024EE5DA" w14:textId="7976E9D3" w:rsidR="000D6413" w:rsidRPr="00944D08" w:rsidRDefault="00B2568A" w:rsidP="00AC77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D08">
        <w:rPr>
          <w:rFonts w:ascii="Times New Roman" w:hAnsi="Times New Roman" w:cs="Times New Roman"/>
          <w:sz w:val="24"/>
          <w:szCs w:val="24"/>
        </w:rPr>
        <w:t>-</w:t>
      </w:r>
      <w:r w:rsidR="0085475A" w:rsidRPr="00944D08">
        <w:rPr>
          <w:rFonts w:ascii="Times New Roman" w:hAnsi="Times New Roman" w:cs="Times New Roman"/>
          <w:sz w:val="24"/>
          <w:szCs w:val="24"/>
        </w:rPr>
        <w:t xml:space="preserve"> </w:t>
      </w:r>
      <w:r w:rsidRPr="00944D08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4862AE" w:rsidRPr="00944D08">
        <w:rPr>
          <w:rFonts w:ascii="Times New Roman" w:hAnsi="Times New Roman" w:cs="Times New Roman"/>
          <w:sz w:val="24"/>
          <w:szCs w:val="24"/>
        </w:rPr>
        <w:t>rashod</w:t>
      </w:r>
      <w:r w:rsidR="00041E59" w:rsidRPr="00944D08">
        <w:rPr>
          <w:rFonts w:ascii="Times New Roman" w:hAnsi="Times New Roman" w:cs="Times New Roman"/>
          <w:sz w:val="24"/>
          <w:szCs w:val="24"/>
        </w:rPr>
        <w:t>a</w:t>
      </w:r>
      <w:r w:rsidR="004862AE" w:rsidRPr="00944D08">
        <w:rPr>
          <w:rFonts w:ascii="Times New Roman" w:hAnsi="Times New Roman" w:cs="Times New Roman"/>
          <w:sz w:val="24"/>
          <w:szCs w:val="24"/>
        </w:rPr>
        <w:t xml:space="preserve"> za nabavu nefinancijske imovine</w:t>
      </w:r>
      <w:r w:rsidR="004472A8" w:rsidRPr="00944D08">
        <w:rPr>
          <w:rFonts w:ascii="Times New Roman" w:hAnsi="Times New Roman" w:cs="Times New Roman"/>
          <w:sz w:val="24"/>
          <w:szCs w:val="24"/>
        </w:rPr>
        <w:t xml:space="preserve"> (perilice i sušilice rublja te perilice za suđe)</w:t>
      </w:r>
      <w:r w:rsidR="00513D13" w:rsidRPr="00944D08">
        <w:rPr>
          <w:rFonts w:ascii="Times New Roman" w:hAnsi="Times New Roman" w:cs="Times New Roman"/>
          <w:sz w:val="24"/>
          <w:szCs w:val="24"/>
        </w:rPr>
        <w:t>.</w:t>
      </w:r>
      <w:r w:rsidR="0085475A" w:rsidRPr="00944D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B1B086" w14:textId="77777777" w:rsidR="00B2568A" w:rsidRPr="00944D08" w:rsidRDefault="00B2568A" w:rsidP="00B2568A">
      <w:pPr>
        <w:pStyle w:val="Bezproreda"/>
      </w:pPr>
    </w:p>
    <w:p w14:paraId="525D79B0" w14:textId="5A3A3FE2" w:rsidR="00C7019D" w:rsidRDefault="00B16A54" w:rsidP="00B2568A">
      <w:pPr>
        <w:jc w:val="both"/>
        <w:rPr>
          <w:rFonts w:ascii="Times New Roman" w:hAnsi="Times New Roman" w:cs="Times New Roman"/>
          <w:sz w:val="24"/>
          <w:szCs w:val="24"/>
        </w:rPr>
      </w:pPr>
      <w:r w:rsidRPr="004B530C">
        <w:rPr>
          <w:rFonts w:ascii="Times New Roman" w:hAnsi="Times New Roman" w:cs="Times New Roman"/>
          <w:sz w:val="24"/>
          <w:szCs w:val="24"/>
        </w:rPr>
        <w:t xml:space="preserve">Ostale </w:t>
      </w:r>
      <w:r w:rsidR="005A400A" w:rsidRPr="004B530C">
        <w:rPr>
          <w:rFonts w:ascii="Times New Roman" w:hAnsi="Times New Roman" w:cs="Times New Roman"/>
          <w:sz w:val="24"/>
          <w:szCs w:val="24"/>
        </w:rPr>
        <w:t xml:space="preserve">korekcije/izmjene </w:t>
      </w:r>
      <w:r w:rsidRPr="004B530C">
        <w:rPr>
          <w:rFonts w:ascii="Times New Roman" w:hAnsi="Times New Roman" w:cs="Times New Roman"/>
          <w:sz w:val="24"/>
          <w:szCs w:val="24"/>
        </w:rPr>
        <w:t xml:space="preserve">izvršene su </w:t>
      </w:r>
      <w:r w:rsidR="005A400A" w:rsidRPr="004B530C">
        <w:rPr>
          <w:rFonts w:ascii="Times New Roman" w:hAnsi="Times New Roman" w:cs="Times New Roman"/>
          <w:sz w:val="24"/>
          <w:szCs w:val="24"/>
        </w:rPr>
        <w:t>na pojedinim stavkama rashoda, a u skladu s prihodima.</w:t>
      </w:r>
    </w:p>
    <w:p w14:paraId="51587E4D" w14:textId="77777777" w:rsidR="00F2010D" w:rsidRDefault="00F2010D" w:rsidP="00F2010D">
      <w:pPr>
        <w:pStyle w:val="Bezproreda"/>
      </w:pPr>
    </w:p>
    <w:p w14:paraId="0F1EEB43" w14:textId="227A34E8" w:rsidR="00F57ECF" w:rsidRPr="00F57ECF" w:rsidRDefault="00C92048" w:rsidP="00F57E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62D">
        <w:rPr>
          <w:rFonts w:ascii="Times New Roman" w:hAnsi="Times New Roman" w:cs="Times New Roman"/>
          <w:bCs/>
          <w:sz w:val="24"/>
          <w:szCs w:val="24"/>
          <w:u w:val="single"/>
        </w:rPr>
        <w:t>Napomena: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C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ECF">
        <w:rPr>
          <w:rFonts w:ascii="Times New Roman" w:hAnsi="Times New Roman" w:cs="Times New Roman"/>
          <w:bCs/>
          <w:sz w:val="24"/>
          <w:szCs w:val="24"/>
        </w:rPr>
        <w:t>I. Izmjenama i dopunama Financijskog plana za 2024. godinu poveća</w:t>
      </w:r>
      <w:r w:rsidR="00D66B63">
        <w:rPr>
          <w:rFonts w:ascii="Times New Roman" w:hAnsi="Times New Roman" w:cs="Times New Roman"/>
          <w:bCs/>
          <w:sz w:val="24"/>
          <w:szCs w:val="24"/>
        </w:rPr>
        <w:t>la su se</w:t>
      </w:r>
      <w:r w:rsidR="00F57ECF">
        <w:rPr>
          <w:rFonts w:ascii="Times New Roman" w:hAnsi="Times New Roman" w:cs="Times New Roman"/>
          <w:bCs/>
          <w:sz w:val="24"/>
          <w:szCs w:val="24"/>
        </w:rPr>
        <w:t xml:space="preserve"> financijsk</w:t>
      </w:r>
      <w:r w:rsidR="00D66B63">
        <w:rPr>
          <w:rFonts w:ascii="Times New Roman" w:hAnsi="Times New Roman" w:cs="Times New Roman"/>
          <w:bCs/>
          <w:sz w:val="24"/>
          <w:szCs w:val="24"/>
        </w:rPr>
        <w:t>a</w:t>
      </w:r>
      <w:r w:rsidR="00F57ECF">
        <w:rPr>
          <w:rFonts w:ascii="Times New Roman" w:hAnsi="Times New Roman" w:cs="Times New Roman"/>
          <w:bCs/>
          <w:sz w:val="24"/>
          <w:szCs w:val="24"/>
        </w:rPr>
        <w:t xml:space="preserve"> sredstava </w:t>
      </w:r>
      <w:r w:rsidR="00E258C8">
        <w:rPr>
          <w:rFonts w:ascii="Times New Roman" w:hAnsi="Times New Roman" w:cs="Times New Roman"/>
          <w:bCs/>
          <w:sz w:val="24"/>
          <w:szCs w:val="24"/>
        </w:rPr>
        <w:t xml:space="preserve">osigurana </w:t>
      </w:r>
      <w:r w:rsidR="00F57ECF">
        <w:rPr>
          <w:rFonts w:ascii="Times New Roman" w:hAnsi="Times New Roman" w:cs="Times New Roman"/>
          <w:bCs/>
          <w:sz w:val="24"/>
          <w:szCs w:val="24"/>
        </w:rPr>
        <w:t>za rashode za zaposlene iz izvora 484 Prenesena sredstva – prihodi za decentralizirane funkcije</w:t>
      </w:r>
      <w:r w:rsidR="00D66B63" w:rsidRPr="00D66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B63">
        <w:rPr>
          <w:rFonts w:ascii="Times New Roman" w:hAnsi="Times New Roman" w:cs="Times New Roman"/>
          <w:bCs/>
          <w:sz w:val="24"/>
          <w:szCs w:val="24"/>
        </w:rPr>
        <w:t>u iznosu od 50.000,00 eura</w:t>
      </w:r>
      <w:r w:rsidR="00F57E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3FEF22" w14:textId="77777777" w:rsidR="00A13AEC" w:rsidRDefault="00A13AEC" w:rsidP="00A9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DEBC72" w14:textId="77777777" w:rsidR="00A13AEC" w:rsidRDefault="00A13AEC" w:rsidP="00A9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60B89" w14:textId="7F0EBFAC" w:rsidR="00A95F2C" w:rsidRPr="00054FBE" w:rsidRDefault="006A392E" w:rsidP="00A9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FB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6BBE" w:rsidRPr="00054FBE">
        <w:rPr>
          <w:rFonts w:ascii="Times New Roman" w:hAnsi="Times New Roman" w:cs="Times New Roman"/>
          <w:b/>
          <w:sz w:val="24"/>
          <w:szCs w:val="24"/>
          <w:u w:val="single"/>
        </w:rPr>
        <w:t>. POSEBNI DIO</w:t>
      </w:r>
      <w:r w:rsidR="00A95F2C" w:rsidRPr="00054FB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055047" w14:textId="77777777" w:rsidR="00A95F2C" w:rsidRPr="004B530C" w:rsidRDefault="00A95F2C" w:rsidP="00A9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774" w:type="dxa"/>
        <w:tblLook w:val="04A0" w:firstRow="1" w:lastRow="0" w:firstColumn="1" w:lastColumn="0" w:noHBand="0" w:noVBand="1"/>
      </w:tblPr>
      <w:tblGrid>
        <w:gridCol w:w="784"/>
        <w:gridCol w:w="2897"/>
        <w:gridCol w:w="1843"/>
        <w:gridCol w:w="2409"/>
        <w:gridCol w:w="1841"/>
      </w:tblGrid>
      <w:tr w:rsidR="00A95F2C" w:rsidRPr="004B530C" w14:paraId="3D3B75AE" w14:textId="77777777" w:rsidTr="00FC1045">
        <w:trPr>
          <w:trHeight w:val="284"/>
        </w:trPr>
        <w:tc>
          <w:tcPr>
            <w:tcW w:w="784" w:type="dxa"/>
            <w:shd w:val="clear" w:color="auto" w:fill="auto"/>
          </w:tcPr>
          <w:p w14:paraId="4BE56E89" w14:textId="77777777" w:rsidR="00A95F2C" w:rsidRPr="004B530C" w:rsidRDefault="00A95F2C" w:rsidP="00DA5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897" w:type="dxa"/>
            <w:shd w:val="clear" w:color="auto" w:fill="auto"/>
          </w:tcPr>
          <w:p w14:paraId="3BCE6732" w14:textId="77777777" w:rsidR="00A95F2C" w:rsidRPr="004B530C" w:rsidRDefault="00A95F2C" w:rsidP="00DA5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843" w:type="dxa"/>
            <w:shd w:val="clear" w:color="auto" w:fill="auto"/>
          </w:tcPr>
          <w:p w14:paraId="7859B271" w14:textId="377A548D" w:rsidR="00A95F2C" w:rsidRPr="004B530C" w:rsidRDefault="00BE6BBE" w:rsidP="00DA5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="00A95F2C"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A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95F2C"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41F8B9E" w14:textId="2D78B201" w:rsidR="00A95F2C" w:rsidRPr="004B530C" w:rsidRDefault="00BE6BBE" w:rsidP="00DA5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841" w:type="dxa"/>
            <w:shd w:val="clear" w:color="auto" w:fill="auto"/>
          </w:tcPr>
          <w:p w14:paraId="693BFBE5" w14:textId="354B4B21" w:rsidR="00A95F2C" w:rsidRPr="004B530C" w:rsidRDefault="00BE6BBE" w:rsidP="00DA5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Novi plan</w:t>
            </w:r>
          </w:p>
        </w:tc>
      </w:tr>
      <w:tr w:rsidR="00A95F2C" w:rsidRPr="004B530C" w14:paraId="7248C451" w14:textId="77777777" w:rsidTr="00FC1045">
        <w:trPr>
          <w:trHeight w:val="584"/>
        </w:trPr>
        <w:tc>
          <w:tcPr>
            <w:tcW w:w="784" w:type="dxa"/>
            <w:shd w:val="clear" w:color="auto" w:fill="auto"/>
          </w:tcPr>
          <w:p w14:paraId="2D1E66DC" w14:textId="77777777" w:rsidR="00A95F2C" w:rsidRPr="004B530C" w:rsidRDefault="00A95F2C" w:rsidP="007E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shd w:val="clear" w:color="auto" w:fill="auto"/>
          </w:tcPr>
          <w:p w14:paraId="025CC6D0" w14:textId="77777777" w:rsidR="00A95F2C" w:rsidRPr="004B530C" w:rsidRDefault="00A95F2C" w:rsidP="002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4302 Zakonski standard ustanova socijalne skrbi</w:t>
            </w:r>
          </w:p>
        </w:tc>
        <w:tc>
          <w:tcPr>
            <w:tcW w:w="1843" w:type="dxa"/>
            <w:shd w:val="clear" w:color="auto" w:fill="auto"/>
          </w:tcPr>
          <w:p w14:paraId="3C43D894" w14:textId="0DE8C628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1.576.872,00</w:t>
            </w:r>
          </w:p>
        </w:tc>
        <w:tc>
          <w:tcPr>
            <w:tcW w:w="2409" w:type="dxa"/>
            <w:shd w:val="clear" w:color="auto" w:fill="auto"/>
          </w:tcPr>
          <w:p w14:paraId="11D87665" w14:textId="467D3072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205.025,95</w:t>
            </w:r>
          </w:p>
        </w:tc>
        <w:tc>
          <w:tcPr>
            <w:tcW w:w="1841" w:type="dxa"/>
            <w:shd w:val="clear" w:color="auto" w:fill="auto"/>
          </w:tcPr>
          <w:p w14:paraId="3842B5E4" w14:textId="1B3361CE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1.781.897,95</w:t>
            </w:r>
          </w:p>
        </w:tc>
      </w:tr>
      <w:tr w:rsidR="00A95F2C" w:rsidRPr="004B530C" w14:paraId="4737135E" w14:textId="77777777" w:rsidTr="00FC1045">
        <w:trPr>
          <w:trHeight w:val="853"/>
        </w:trPr>
        <w:tc>
          <w:tcPr>
            <w:tcW w:w="784" w:type="dxa"/>
            <w:shd w:val="clear" w:color="auto" w:fill="auto"/>
          </w:tcPr>
          <w:p w14:paraId="6CA0451E" w14:textId="77777777" w:rsidR="00A95F2C" w:rsidRPr="004B530C" w:rsidRDefault="00A95F2C" w:rsidP="007E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shd w:val="clear" w:color="auto" w:fill="auto"/>
          </w:tcPr>
          <w:p w14:paraId="5B888D1A" w14:textId="496494DC" w:rsidR="00A95F2C" w:rsidRPr="004B530C" w:rsidRDefault="00A95F2C" w:rsidP="002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4303 Programi županijskih ustanova iznad zakonskog standarda</w:t>
            </w:r>
          </w:p>
        </w:tc>
        <w:tc>
          <w:tcPr>
            <w:tcW w:w="1843" w:type="dxa"/>
            <w:shd w:val="clear" w:color="auto" w:fill="auto"/>
          </w:tcPr>
          <w:p w14:paraId="209A0C5E" w14:textId="2448A706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10.044,00</w:t>
            </w:r>
          </w:p>
        </w:tc>
        <w:tc>
          <w:tcPr>
            <w:tcW w:w="2409" w:type="dxa"/>
            <w:shd w:val="clear" w:color="auto" w:fill="auto"/>
          </w:tcPr>
          <w:p w14:paraId="50D93788" w14:textId="04316EEA" w:rsidR="00A95F2C" w:rsidRPr="004B530C" w:rsidRDefault="00BE6BBE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1" w:type="dxa"/>
            <w:shd w:val="clear" w:color="auto" w:fill="auto"/>
          </w:tcPr>
          <w:p w14:paraId="38343DE4" w14:textId="5156586C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10.044,00</w:t>
            </w:r>
          </w:p>
        </w:tc>
      </w:tr>
      <w:tr w:rsidR="00A95F2C" w:rsidRPr="004B530C" w14:paraId="31B4F7CE" w14:textId="77777777" w:rsidTr="00FC1045">
        <w:trPr>
          <w:trHeight w:val="584"/>
        </w:trPr>
        <w:tc>
          <w:tcPr>
            <w:tcW w:w="784" w:type="dxa"/>
            <w:shd w:val="clear" w:color="auto" w:fill="auto"/>
          </w:tcPr>
          <w:p w14:paraId="26EED830" w14:textId="77777777" w:rsidR="00A95F2C" w:rsidRPr="004B530C" w:rsidRDefault="00A95F2C" w:rsidP="007E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  <w:shd w:val="clear" w:color="auto" w:fill="auto"/>
          </w:tcPr>
          <w:p w14:paraId="33E87784" w14:textId="77777777" w:rsidR="00A95F2C" w:rsidRPr="004B530C" w:rsidRDefault="00A95F2C" w:rsidP="0020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sz w:val="24"/>
                <w:szCs w:val="24"/>
              </w:rPr>
              <w:t>4306 Kapitalna ulaganja u ustanove socijalne skrbi</w:t>
            </w:r>
          </w:p>
        </w:tc>
        <w:tc>
          <w:tcPr>
            <w:tcW w:w="1843" w:type="dxa"/>
            <w:shd w:val="clear" w:color="auto" w:fill="auto"/>
          </w:tcPr>
          <w:p w14:paraId="783DC0C4" w14:textId="2D138BE0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14:paraId="741919C8" w14:textId="563F9FFA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35.563,00</w:t>
            </w:r>
          </w:p>
        </w:tc>
        <w:tc>
          <w:tcPr>
            <w:tcW w:w="1841" w:type="dxa"/>
            <w:shd w:val="clear" w:color="auto" w:fill="auto"/>
          </w:tcPr>
          <w:p w14:paraId="01FF1428" w14:textId="2E1EA4B7" w:rsidR="00A95F2C" w:rsidRPr="004B530C" w:rsidRDefault="008E472D" w:rsidP="009F7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35.563,00</w:t>
            </w:r>
          </w:p>
        </w:tc>
      </w:tr>
      <w:tr w:rsidR="00A95F2C" w:rsidRPr="004B530C" w14:paraId="723EF86D" w14:textId="77777777" w:rsidTr="00FC1045">
        <w:trPr>
          <w:trHeight w:val="284"/>
        </w:trPr>
        <w:tc>
          <w:tcPr>
            <w:tcW w:w="784" w:type="dxa"/>
            <w:shd w:val="clear" w:color="auto" w:fill="auto"/>
          </w:tcPr>
          <w:p w14:paraId="0693794D" w14:textId="77777777" w:rsidR="00A95F2C" w:rsidRPr="004B530C" w:rsidRDefault="00A95F2C" w:rsidP="007E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62A132D2" w14:textId="77777777" w:rsidR="00A95F2C" w:rsidRPr="004B530C" w:rsidRDefault="00A95F2C" w:rsidP="007E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0C">
              <w:rPr>
                <w:rFonts w:ascii="Times New Roman" w:hAnsi="Times New Roman" w:cs="Times New Roman"/>
                <w:b/>
                <w:sz w:val="24"/>
                <w:szCs w:val="24"/>
              </w:rPr>
              <w:t>Ukupno razdjel:</w:t>
            </w:r>
          </w:p>
        </w:tc>
        <w:tc>
          <w:tcPr>
            <w:tcW w:w="1843" w:type="dxa"/>
            <w:shd w:val="clear" w:color="auto" w:fill="auto"/>
          </w:tcPr>
          <w:p w14:paraId="5D2796CD" w14:textId="6F6B1FC3" w:rsidR="00A95F2C" w:rsidRPr="004B530C" w:rsidRDefault="008B01F6" w:rsidP="009F74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1.586.916,00</w:t>
            </w:r>
          </w:p>
        </w:tc>
        <w:tc>
          <w:tcPr>
            <w:tcW w:w="2409" w:type="dxa"/>
            <w:shd w:val="clear" w:color="auto" w:fill="auto"/>
          </w:tcPr>
          <w:p w14:paraId="52D1219F" w14:textId="6CBBFF33" w:rsidR="00A95F2C" w:rsidRPr="004B530C" w:rsidRDefault="008B01F6" w:rsidP="009F74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240.588,95</w:t>
            </w:r>
          </w:p>
        </w:tc>
        <w:tc>
          <w:tcPr>
            <w:tcW w:w="1841" w:type="dxa"/>
            <w:shd w:val="clear" w:color="auto" w:fill="auto"/>
          </w:tcPr>
          <w:p w14:paraId="3C03A0DC" w14:textId="08AE6479" w:rsidR="00A95F2C" w:rsidRPr="004B530C" w:rsidRDefault="008B01F6" w:rsidP="009F74E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1.827.504,95</w:t>
            </w:r>
          </w:p>
        </w:tc>
      </w:tr>
    </w:tbl>
    <w:p w14:paraId="4AA38F80" w14:textId="77777777" w:rsidR="00033E6D" w:rsidRDefault="00033E6D">
      <w:pPr>
        <w:rPr>
          <w:rFonts w:ascii="Times New Roman" w:hAnsi="Times New Roman" w:cs="Times New Roman"/>
          <w:b/>
          <w:sz w:val="24"/>
          <w:szCs w:val="24"/>
        </w:rPr>
      </w:pPr>
    </w:p>
    <w:p w14:paraId="6D0090DF" w14:textId="6D35F922" w:rsidR="00C7019D" w:rsidRPr="004B530C" w:rsidRDefault="009F64A3">
      <w:pPr>
        <w:rPr>
          <w:rFonts w:ascii="Times New Roman" w:hAnsi="Times New Roman" w:cs="Times New Roman"/>
          <w:b/>
          <w:sz w:val="24"/>
          <w:szCs w:val="24"/>
        </w:rPr>
      </w:pPr>
      <w:r w:rsidRPr="004B530C">
        <w:rPr>
          <w:rFonts w:ascii="Times New Roman" w:hAnsi="Times New Roman" w:cs="Times New Roman"/>
          <w:b/>
          <w:sz w:val="24"/>
          <w:szCs w:val="24"/>
        </w:rPr>
        <w:lastRenderedPageBreak/>
        <w:t>PROGRAM: 4302 ZAKONSKI STANDARD USTANOVA SOCIJALNE SKRBI</w:t>
      </w:r>
    </w:p>
    <w:p w14:paraId="261BC721" w14:textId="57ED9B54" w:rsidR="00E74787" w:rsidRPr="004B530C" w:rsidRDefault="00E74787">
      <w:pPr>
        <w:rPr>
          <w:rFonts w:ascii="Times New Roman" w:hAnsi="Times New Roman" w:cs="Times New Roman"/>
          <w:b/>
          <w:sz w:val="24"/>
          <w:szCs w:val="24"/>
        </w:rPr>
      </w:pPr>
      <w:r w:rsidRPr="004B530C">
        <w:rPr>
          <w:rFonts w:ascii="Times New Roman" w:hAnsi="Times New Roman" w:cs="Times New Roman"/>
          <w:b/>
          <w:sz w:val="24"/>
          <w:szCs w:val="24"/>
        </w:rPr>
        <w:t>A</w:t>
      </w:r>
      <w:r w:rsidR="00631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0C">
        <w:rPr>
          <w:rFonts w:ascii="Times New Roman" w:hAnsi="Times New Roman" w:cs="Times New Roman"/>
          <w:b/>
          <w:sz w:val="24"/>
          <w:szCs w:val="24"/>
        </w:rPr>
        <w:t>430204 Redovna djelatnost domova za starije osobe</w:t>
      </w:r>
    </w:p>
    <w:p w14:paraId="5B7430D4" w14:textId="6E1EFBC9" w:rsidR="009336D1" w:rsidRDefault="009336D1" w:rsidP="005A78D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30C">
        <w:rPr>
          <w:rFonts w:ascii="Times New Roman" w:hAnsi="Times New Roman" w:cs="Times New Roman"/>
          <w:bCs/>
          <w:sz w:val="24"/>
          <w:szCs w:val="24"/>
        </w:rPr>
        <w:t>Na</w:t>
      </w:r>
      <w:r w:rsidR="00235BF5" w:rsidRPr="004B530C">
        <w:rPr>
          <w:rFonts w:ascii="Times New Roman" w:hAnsi="Times New Roman" w:cs="Times New Roman"/>
          <w:bCs/>
          <w:sz w:val="24"/>
          <w:szCs w:val="24"/>
        </w:rPr>
        <w:t xml:space="preserve"> povećanje</w:t>
      </w:r>
      <w:r w:rsidR="002B58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ECF" w:rsidRPr="004B530C">
        <w:rPr>
          <w:rFonts w:ascii="Times New Roman" w:hAnsi="Times New Roman" w:cs="Times New Roman"/>
          <w:bCs/>
          <w:sz w:val="24"/>
          <w:szCs w:val="24"/>
        </w:rPr>
        <w:t xml:space="preserve">sredstava </w:t>
      </w:r>
      <w:r w:rsidR="00B63AFC">
        <w:rPr>
          <w:rFonts w:ascii="Times New Roman" w:hAnsi="Times New Roman" w:cs="Times New Roman"/>
          <w:bCs/>
          <w:sz w:val="24"/>
          <w:szCs w:val="24"/>
        </w:rPr>
        <w:t>u iznosu od 205.025,95 eura</w:t>
      </w:r>
      <w:r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AFC">
        <w:rPr>
          <w:rFonts w:ascii="Times New Roman" w:hAnsi="Times New Roman" w:cs="Times New Roman"/>
          <w:bCs/>
          <w:sz w:val="24"/>
          <w:szCs w:val="24"/>
        </w:rPr>
        <w:t>najveći</w:t>
      </w:r>
      <w:r w:rsidRPr="004B530C">
        <w:rPr>
          <w:rFonts w:ascii="Times New Roman" w:hAnsi="Times New Roman" w:cs="Times New Roman"/>
          <w:bCs/>
          <w:sz w:val="24"/>
          <w:szCs w:val="24"/>
        </w:rPr>
        <w:t xml:space="preserve"> utjecaj ima</w:t>
      </w:r>
      <w:r w:rsidR="00B9024D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877" w:rsidRPr="004B530C">
        <w:rPr>
          <w:rFonts w:ascii="Times New Roman" w:hAnsi="Times New Roman" w:cs="Times New Roman"/>
          <w:bCs/>
          <w:sz w:val="24"/>
          <w:szCs w:val="24"/>
        </w:rPr>
        <w:t xml:space="preserve">sufinanciranje redovne djelatnosti Doma </w:t>
      </w:r>
      <w:r w:rsidR="00235BF5" w:rsidRPr="004B530C">
        <w:rPr>
          <w:rFonts w:ascii="Times New Roman" w:hAnsi="Times New Roman" w:cs="Times New Roman"/>
          <w:bCs/>
          <w:sz w:val="24"/>
          <w:szCs w:val="24"/>
        </w:rPr>
        <w:t xml:space="preserve">za starije osobe „Volosko“ Opatija </w:t>
      </w:r>
      <w:r w:rsidR="003D3877" w:rsidRPr="004B530C">
        <w:rPr>
          <w:rFonts w:ascii="Times New Roman" w:hAnsi="Times New Roman" w:cs="Times New Roman"/>
          <w:bCs/>
          <w:sz w:val="24"/>
          <w:szCs w:val="24"/>
        </w:rPr>
        <w:t xml:space="preserve">od strane </w:t>
      </w:r>
      <w:r w:rsidR="00977742" w:rsidRPr="004B530C">
        <w:rPr>
          <w:rFonts w:ascii="Times New Roman" w:hAnsi="Times New Roman" w:cs="Times New Roman"/>
          <w:bCs/>
          <w:sz w:val="24"/>
          <w:szCs w:val="24"/>
        </w:rPr>
        <w:t>Osnivača</w:t>
      </w:r>
      <w:r w:rsidR="003D3877" w:rsidRPr="004B530C">
        <w:rPr>
          <w:rFonts w:ascii="Times New Roman" w:hAnsi="Times New Roman" w:cs="Times New Roman"/>
          <w:bCs/>
          <w:sz w:val="24"/>
          <w:szCs w:val="24"/>
        </w:rPr>
        <w:t>.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AFC">
        <w:rPr>
          <w:rFonts w:ascii="Times New Roman" w:hAnsi="Times New Roman" w:cs="Times New Roman"/>
          <w:bCs/>
          <w:sz w:val="24"/>
          <w:szCs w:val="24"/>
        </w:rPr>
        <w:t>Sredstva</w:t>
      </w:r>
      <w:r w:rsidR="00760E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B63AFC">
        <w:rPr>
          <w:rFonts w:ascii="Times New Roman" w:hAnsi="Times New Roman" w:cs="Times New Roman"/>
          <w:bCs/>
          <w:sz w:val="24"/>
          <w:szCs w:val="24"/>
        </w:rPr>
        <w:t xml:space="preserve">162.000,00 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76427D">
        <w:rPr>
          <w:rFonts w:ascii="Times New Roman" w:hAnsi="Times New Roman" w:cs="Times New Roman"/>
          <w:bCs/>
          <w:sz w:val="24"/>
          <w:szCs w:val="24"/>
        </w:rPr>
        <w:t>osigurana</w:t>
      </w:r>
      <w:r w:rsidR="00760ED7"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AE4">
        <w:rPr>
          <w:rFonts w:ascii="Times New Roman" w:hAnsi="Times New Roman" w:cs="Times New Roman"/>
          <w:bCs/>
          <w:sz w:val="24"/>
          <w:szCs w:val="24"/>
        </w:rPr>
        <w:t>z</w:t>
      </w:r>
      <w:r w:rsidR="00760ED7">
        <w:rPr>
          <w:rFonts w:ascii="Times New Roman" w:hAnsi="Times New Roman" w:cs="Times New Roman"/>
          <w:bCs/>
          <w:sz w:val="24"/>
          <w:szCs w:val="24"/>
        </w:rPr>
        <w:t>a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 rashode za zaposlene</w:t>
      </w:r>
      <w:r w:rsidR="00760ED7">
        <w:rPr>
          <w:rFonts w:ascii="Times New Roman" w:hAnsi="Times New Roman" w:cs="Times New Roman"/>
          <w:bCs/>
          <w:sz w:val="24"/>
          <w:szCs w:val="24"/>
        </w:rPr>
        <w:t xml:space="preserve"> dok su sredstva u iznosu od 35.156,00 eura </w:t>
      </w:r>
      <w:r w:rsidR="0076427D">
        <w:rPr>
          <w:rFonts w:ascii="Times New Roman" w:hAnsi="Times New Roman" w:cs="Times New Roman"/>
          <w:bCs/>
          <w:sz w:val="24"/>
          <w:szCs w:val="24"/>
        </w:rPr>
        <w:t>osigurana</w:t>
      </w:r>
      <w:r w:rsidR="00EC7AE4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760ED7">
        <w:rPr>
          <w:rFonts w:ascii="Times New Roman" w:hAnsi="Times New Roman" w:cs="Times New Roman"/>
          <w:bCs/>
          <w:sz w:val="24"/>
          <w:szCs w:val="24"/>
        </w:rPr>
        <w:t xml:space="preserve">a rashode za nabavu </w:t>
      </w:r>
      <w:r w:rsidR="00582ECC">
        <w:rPr>
          <w:rFonts w:ascii="Times New Roman" w:hAnsi="Times New Roman" w:cs="Times New Roman"/>
          <w:bCs/>
          <w:sz w:val="24"/>
          <w:szCs w:val="24"/>
        </w:rPr>
        <w:t xml:space="preserve">proizvedene dugotrajne </w:t>
      </w:r>
      <w:r w:rsidR="00760ED7">
        <w:rPr>
          <w:rFonts w:ascii="Times New Roman" w:hAnsi="Times New Roman" w:cs="Times New Roman"/>
          <w:bCs/>
          <w:sz w:val="24"/>
          <w:szCs w:val="24"/>
        </w:rPr>
        <w:t>imovine</w:t>
      </w:r>
      <w:r w:rsidR="00B63AFC">
        <w:rPr>
          <w:rFonts w:ascii="Times New Roman" w:hAnsi="Times New Roman" w:cs="Times New Roman"/>
          <w:bCs/>
          <w:sz w:val="24"/>
          <w:szCs w:val="24"/>
        </w:rPr>
        <w:t>.</w:t>
      </w:r>
      <w:r w:rsidR="002225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366">
        <w:rPr>
          <w:rFonts w:ascii="Times New Roman" w:hAnsi="Times New Roman" w:cs="Times New Roman"/>
          <w:bCs/>
          <w:sz w:val="24"/>
          <w:szCs w:val="24"/>
        </w:rPr>
        <w:t>Sredstvima osiguranim od strane Županije p</w:t>
      </w:r>
      <w:r w:rsidR="001D719E">
        <w:rPr>
          <w:rFonts w:ascii="Times New Roman" w:hAnsi="Times New Roman" w:cs="Times New Roman"/>
          <w:bCs/>
          <w:sz w:val="24"/>
          <w:szCs w:val="24"/>
        </w:rPr>
        <w:t>lanirana je nabava nove perilice i sušilice rublje te nabava perilice za suđe</w:t>
      </w:r>
      <w:r w:rsidR="00EA5366">
        <w:rPr>
          <w:rFonts w:ascii="Times New Roman" w:hAnsi="Times New Roman" w:cs="Times New Roman"/>
          <w:bCs/>
          <w:sz w:val="24"/>
          <w:szCs w:val="24"/>
        </w:rPr>
        <w:t xml:space="preserve"> (z</w:t>
      </w:r>
      <w:r w:rsidR="00A83719">
        <w:rPr>
          <w:rFonts w:ascii="Times New Roman" w:hAnsi="Times New Roman" w:cs="Times New Roman"/>
          <w:bCs/>
          <w:sz w:val="24"/>
          <w:szCs w:val="24"/>
        </w:rPr>
        <w:t>bog starosti i dotrajalosti</w:t>
      </w:r>
      <w:r w:rsidR="00EA5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719">
        <w:rPr>
          <w:rFonts w:ascii="Times New Roman" w:hAnsi="Times New Roman" w:cs="Times New Roman"/>
          <w:bCs/>
          <w:sz w:val="24"/>
          <w:szCs w:val="24"/>
        </w:rPr>
        <w:t xml:space="preserve">česti </w:t>
      </w:r>
      <w:r w:rsidR="00BC72CD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A83719">
        <w:rPr>
          <w:rFonts w:ascii="Times New Roman" w:hAnsi="Times New Roman" w:cs="Times New Roman"/>
          <w:bCs/>
          <w:sz w:val="24"/>
          <w:szCs w:val="24"/>
        </w:rPr>
        <w:t>kvarovi te su nužni sve skuplji popravci na koje se dugo čeka zbog otežanog pronalaska potrebnih dijelova</w:t>
      </w:r>
      <w:r w:rsidR="00EA5366">
        <w:rPr>
          <w:rFonts w:ascii="Times New Roman" w:hAnsi="Times New Roman" w:cs="Times New Roman"/>
          <w:bCs/>
          <w:sz w:val="24"/>
          <w:szCs w:val="24"/>
        </w:rPr>
        <w:t>)</w:t>
      </w:r>
      <w:r w:rsidR="00A8371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731462" w:rsidRPr="004B53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C49E31" w14:textId="77777777" w:rsidR="00A810EF" w:rsidRDefault="00A810EF" w:rsidP="00EC7AE4">
      <w:pPr>
        <w:rPr>
          <w:rFonts w:ascii="Times New Roman" w:hAnsi="Times New Roman" w:cs="Times New Roman"/>
          <w:b/>
          <w:sz w:val="24"/>
          <w:szCs w:val="24"/>
        </w:rPr>
      </w:pPr>
    </w:p>
    <w:p w14:paraId="1CDF6DE8" w14:textId="4F96A855" w:rsidR="00EC7AE4" w:rsidRPr="004B530C" w:rsidRDefault="00EC7AE4" w:rsidP="00EC7AE4">
      <w:pPr>
        <w:rPr>
          <w:rFonts w:ascii="Times New Roman" w:hAnsi="Times New Roman" w:cs="Times New Roman"/>
          <w:b/>
          <w:sz w:val="24"/>
          <w:szCs w:val="24"/>
        </w:rPr>
      </w:pPr>
      <w:r w:rsidRPr="004B530C">
        <w:rPr>
          <w:rFonts w:ascii="Times New Roman" w:hAnsi="Times New Roman" w:cs="Times New Roman"/>
          <w:b/>
          <w:sz w:val="24"/>
          <w:szCs w:val="24"/>
        </w:rPr>
        <w:t>PROGRAM: 430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5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KAPITALNA ULAGANJA U USTANOVE SOCIJALNE SKRBI</w:t>
      </w:r>
    </w:p>
    <w:p w14:paraId="4288242A" w14:textId="3E0A740B" w:rsidR="00EC7AE4" w:rsidRDefault="00EC7AE4" w:rsidP="00EC7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631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411">
        <w:rPr>
          <w:rFonts w:ascii="Times New Roman" w:hAnsi="Times New Roman" w:cs="Times New Roman"/>
          <w:b/>
          <w:sz w:val="24"/>
          <w:szCs w:val="24"/>
        </w:rPr>
        <w:t>430601</w:t>
      </w:r>
      <w:r w:rsidRPr="004B5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Adaptacija i rekonstrukcija objekata ustanova socijalne skrbi</w:t>
      </w:r>
    </w:p>
    <w:p w14:paraId="6565E1BD" w14:textId="5A09036A" w:rsidR="00EC7AE4" w:rsidRPr="00EC7AE4" w:rsidRDefault="00EC7AE4" w:rsidP="00BA7A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Povećanje </w:t>
      </w:r>
      <w:r w:rsidR="009221A6">
        <w:rPr>
          <w:rFonts w:ascii="Times New Roman" w:hAnsi="Times New Roman" w:cs="Times New Roman"/>
          <w:bCs/>
          <w:sz w:val="24"/>
          <w:szCs w:val="24"/>
        </w:rPr>
        <w:t xml:space="preserve">sredstava u iznosu od 35.563,00 eura </w:t>
      </w:r>
      <w:r>
        <w:rPr>
          <w:rFonts w:ascii="Times New Roman" w:hAnsi="Times New Roman" w:cs="Times New Roman"/>
          <w:bCs/>
          <w:sz w:val="24"/>
          <w:szCs w:val="24"/>
        </w:rPr>
        <w:t xml:space="preserve">odnosi </w:t>
      </w:r>
      <w:r w:rsidR="009221A6">
        <w:rPr>
          <w:rFonts w:ascii="Times New Roman" w:hAnsi="Times New Roman" w:cs="Times New Roman"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9221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6B0">
        <w:rPr>
          <w:rFonts w:ascii="Times New Roman" w:hAnsi="Times New Roman" w:cs="Times New Roman"/>
          <w:bCs/>
          <w:sz w:val="24"/>
          <w:szCs w:val="24"/>
        </w:rPr>
        <w:t xml:space="preserve">planirane rashode za sanaciju stolarije na sobama objekta „C“ Doma za starije osobe „Volosko“ Opatija čime će se osigurati </w:t>
      </w:r>
      <w:r w:rsidR="00BA7AB0">
        <w:rPr>
          <w:rFonts w:ascii="Times New Roman" w:hAnsi="Times New Roman" w:cs="Times New Roman"/>
          <w:bCs/>
          <w:sz w:val="24"/>
          <w:szCs w:val="24"/>
        </w:rPr>
        <w:t>ušteda energije zbog bolje toplinsk</w:t>
      </w:r>
      <w:r w:rsidR="000D6F8B">
        <w:rPr>
          <w:rFonts w:ascii="Times New Roman" w:hAnsi="Times New Roman" w:cs="Times New Roman"/>
          <w:bCs/>
          <w:sz w:val="24"/>
          <w:szCs w:val="24"/>
        </w:rPr>
        <w:t>e</w:t>
      </w:r>
      <w:r w:rsidR="00BA7AB0">
        <w:rPr>
          <w:rFonts w:ascii="Times New Roman" w:hAnsi="Times New Roman" w:cs="Times New Roman"/>
          <w:bCs/>
          <w:sz w:val="24"/>
          <w:szCs w:val="24"/>
        </w:rPr>
        <w:t xml:space="preserve"> izolacij</w:t>
      </w:r>
      <w:r w:rsidR="000D6F8B">
        <w:rPr>
          <w:rFonts w:ascii="Times New Roman" w:hAnsi="Times New Roman" w:cs="Times New Roman"/>
          <w:bCs/>
          <w:sz w:val="24"/>
          <w:szCs w:val="24"/>
        </w:rPr>
        <w:t>e</w:t>
      </w:r>
      <w:r w:rsidR="00BA7AB0">
        <w:rPr>
          <w:rFonts w:ascii="Times New Roman" w:hAnsi="Times New Roman" w:cs="Times New Roman"/>
          <w:bCs/>
          <w:sz w:val="24"/>
          <w:szCs w:val="24"/>
        </w:rPr>
        <w:t>, veća sigurnost</w:t>
      </w:r>
      <w:r w:rsidR="000D6F8B">
        <w:rPr>
          <w:rFonts w:ascii="Times New Roman" w:hAnsi="Times New Roman" w:cs="Times New Roman"/>
          <w:bCs/>
          <w:sz w:val="24"/>
          <w:szCs w:val="24"/>
        </w:rPr>
        <w:t xml:space="preserve"> i zaštita</w:t>
      </w:r>
      <w:r w:rsidR="00BA7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44C">
        <w:rPr>
          <w:rFonts w:ascii="Times New Roman" w:hAnsi="Times New Roman" w:cs="Times New Roman"/>
          <w:bCs/>
          <w:sz w:val="24"/>
          <w:szCs w:val="24"/>
        </w:rPr>
        <w:t xml:space="preserve">unutarnjeg prostora </w:t>
      </w:r>
      <w:r w:rsidR="006A5FA6">
        <w:rPr>
          <w:rFonts w:ascii="Times New Roman" w:hAnsi="Times New Roman" w:cs="Times New Roman"/>
          <w:bCs/>
          <w:sz w:val="24"/>
          <w:szCs w:val="24"/>
        </w:rPr>
        <w:t>objekta „C“ prilikom</w:t>
      </w:r>
      <w:r w:rsidR="00BA7AB0">
        <w:rPr>
          <w:rFonts w:ascii="Times New Roman" w:hAnsi="Times New Roman" w:cs="Times New Roman"/>
          <w:bCs/>
          <w:sz w:val="24"/>
          <w:szCs w:val="24"/>
        </w:rPr>
        <w:t xml:space="preserve"> vremenskih neprilika te mogućnost zamračivanja</w:t>
      </w:r>
      <w:r w:rsidR="000D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2AC">
        <w:rPr>
          <w:rFonts w:ascii="Times New Roman" w:hAnsi="Times New Roman" w:cs="Times New Roman"/>
          <w:bCs/>
          <w:sz w:val="24"/>
          <w:szCs w:val="24"/>
        </w:rPr>
        <w:t>soba</w:t>
      </w:r>
      <w:r w:rsidR="00AB0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5FA6">
        <w:rPr>
          <w:rFonts w:ascii="Times New Roman" w:hAnsi="Times New Roman" w:cs="Times New Roman"/>
          <w:bCs/>
          <w:sz w:val="24"/>
          <w:szCs w:val="24"/>
        </w:rPr>
        <w:t>što je korisnicima od velike važnosti</w:t>
      </w:r>
      <w:r w:rsidR="00BA7A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7783D9" w14:textId="77777777" w:rsidR="00814BC9" w:rsidRDefault="00814BC9" w:rsidP="00B23D22">
      <w:pPr>
        <w:rPr>
          <w:rFonts w:ascii="Times New Roman" w:hAnsi="Times New Roman" w:cs="Times New Roman"/>
          <w:b/>
          <w:sz w:val="24"/>
          <w:szCs w:val="24"/>
        </w:rPr>
      </w:pPr>
    </w:p>
    <w:p w14:paraId="4E3B6C0A" w14:textId="77777777" w:rsidR="00D849E6" w:rsidRDefault="00D849E6" w:rsidP="00B23D22">
      <w:pPr>
        <w:rPr>
          <w:rFonts w:ascii="Times New Roman" w:hAnsi="Times New Roman" w:cs="Times New Roman"/>
          <w:b/>
          <w:sz w:val="24"/>
          <w:szCs w:val="24"/>
        </w:rPr>
      </w:pPr>
    </w:p>
    <w:p w14:paraId="3E068A88" w14:textId="77777777" w:rsidR="00EC7AE4" w:rsidRDefault="00EC7AE4" w:rsidP="00B23D22">
      <w:pPr>
        <w:rPr>
          <w:rFonts w:ascii="Times New Roman" w:hAnsi="Times New Roman" w:cs="Times New Roman"/>
          <w:b/>
          <w:sz w:val="24"/>
          <w:szCs w:val="24"/>
        </w:rPr>
      </w:pPr>
    </w:p>
    <w:p w14:paraId="3DEEB39F" w14:textId="6C453C1E" w:rsidR="00A243AE" w:rsidRPr="004B530C" w:rsidRDefault="00B23D22" w:rsidP="00B23D2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3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092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>Ravnatelj</w:t>
      </w:r>
      <w:r w:rsidR="007B76DC"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>ica</w:t>
      </w:r>
      <w:r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546E2F6E" w14:textId="37945067" w:rsidR="00A243AE" w:rsidRPr="004B530C" w:rsidRDefault="00A243AE" w:rsidP="00B23D2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______________________</w:t>
      </w:r>
    </w:p>
    <w:p w14:paraId="4CC4DE7E" w14:textId="14E6FBB9" w:rsidR="00B23D22" w:rsidRPr="004B530C" w:rsidRDefault="007B76DC" w:rsidP="00A243AE">
      <w:pPr>
        <w:ind w:left="6372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Gordana Saršon, </w:t>
      </w:r>
      <w:r w:rsidR="00152349" w:rsidRPr="004B530C">
        <w:rPr>
          <w:rFonts w:ascii="Times New Roman" w:hAnsi="Times New Roman" w:cs="Times New Roman"/>
          <w:bCs/>
          <w:i/>
          <w:iCs/>
          <w:sz w:val="24"/>
          <w:szCs w:val="24"/>
        </w:rPr>
        <w:t>mag. paed.</w:t>
      </w:r>
    </w:p>
    <w:sectPr w:rsidR="00B23D22" w:rsidRPr="004B530C" w:rsidSect="00041292">
      <w:foot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37AF" w14:textId="77777777" w:rsidR="00FA6A6E" w:rsidRDefault="00FA6A6E" w:rsidP="00BD6C77">
      <w:pPr>
        <w:spacing w:after="0" w:line="240" w:lineRule="auto"/>
      </w:pPr>
      <w:r>
        <w:separator/>
      </w:r>
    </w:p>
  </w:endnote>
  <w:endnote w:type="continuationSeparator" w:id="0">
    <w:p w14:paraId="5A574AB2" w14:textId="77777777" w:rsidR="00FA6A6E" w:rsidRDefault="00FA6A6E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35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9D9FB" w14:textId="77777777" w:rsidR="00CF6142" w:rsidRDefault="00CF614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C64E6" w14:textId="77777777" w:rsidR="00CF6142" w:rsidRDefault="00CF61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772F9" w14:textId="77777777" w:rsidR="00FA6A6E" w:rsidRDefault="00FA6A6E" w:rsidP="00BD6C77">
      <w:pPr>
        <w:spacing w:after="0" w:line="240" w:lineRule="auto"/>
      </w:pPr>
      <w:r>
        <w:separator/>
      </w:r>
    </w:p>
  </w:footnote>
  <w:footnote w:type="continuationSeparator" w:id="0">
    <w:p w14:paraId="1B950095" w14:textId="77777777" w:rsidR="00FA6A6E" w:rsidRDefault="00FA6A6E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4C7F"/>
    <w:multiLevelType w:val="hybridMultilevel"/>
    <w:tmpl w:val="D05CF2F2"/>
    <w:lvl w:ilvl="0" w:tplc="91584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E9F"/>
    <w:multiLevelType w:val="hybridMultilevel"/>
    <w:tmpl w:val="4F1AFD12"/>
    <w:lvl w:ilvl="0" w:tplc="AE86C2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AB4CF8"/>
    <w:multiLevelType w:val="hybridMultilevel"/>
    <w:tmpl w:val="730035DC"/>
    <w:lvl w:ilvl="0" w:tplc="A942F870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57B88"/>
    <w:multiLevelType w:val="hybridMultilevel"/>
    <w:tmpl w:val="E06AED78"/>
    <w:lvl w:ilvl="0" w:tplc="E448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E25"/>
    <w:multiLevelType w:val="multilevel"/>
    <w:tmpl w:val="678861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3FF60852"/>
    <w:multiLevelType w:val="hybridMultilevel"/>
    <w:tmpl w:val="DC7E8C00"/>
    <w:lvl w:ilvl="0" w:tplc="09626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734"/>
    <w:multiLevelType w:val="hybridMultilevel"/>
    <w:tmpl w:val="E0B62F7C"/>
    <w:lvl w:ilvl="0" w:tplc="3A147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F5AEC"/>
    <w:multiLevelType w:val="hybridMultilevel"/>
    <w:tmpl w:val="CC0444F2"/>
    <w:lvl w:ilvl="0" w:tplc="1FE4CF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EFA68CB"/>
    <w:multiLevelType w:val="hybridMultilevel"/>
    <w:tmpl w:val="6F54778C"/>
    <w:lvl w:ilvl="0" w:tplc="7C5A07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F62D4A"/>
    <w:multiLevelType w:val="hybridMultilevel"/>
    <w:tmpl w:val="BA62CCCC"/>
    <w:lvl w:ilvl="0" w:tplc="DCFEC1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4765279">
    <w:abstractNumId w:val="2"/>
  </w:num>
  <w:num w:numId="2" w16cid:durableId="1701399789">
    <w:abstractNumId w:val="4"/>
  </w:num>
  <w:num w:numId="3" w16cid:durableId="1923641348">
    <w:abstractNumId w:val="6"/>
  </w:num>
  <w:num w:numId="4" w16cid:durableId="1825124613">
    <w:abstractNumId w:val="0"/>
  </w:num>
  <w:num w:numId="5" w16cid:durableId="471600748">
    <w:abstractNumId w:val="5"/>
  </w:num>
  <w:num w:numId="6" w16cid:durableId="2102220496">
    <w:abstractNumId w:val="8"/>
  </w:num>
  <w:num w:numId="7" w16cid:durableId="209926640">
    <w:abstractNumId w:val="3"/>
  </w:num>
  <w:num w:numId="8" w16cid:durableId="1935238970">
    <w:abstractNumId w:val="9"/>
  </w:num>
  <w:num w:numId="9" w16cid:durableId="656805371">
    <w:abstractNumId w:val="7"/>
  </w:num>
  <w:num w:numId="10" w16cid:durableId="8237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2"/>
    <w:rsid w:val="00000F68"/>
    <w:rsid w:val="00007D5C"/>
    <w:rsid w:val="000176A8"/>
    <w:rsid w:val="00017B5F"/>
    <w:rsid w:val="00027F59"/>
    <w:rsid w:val="000328E8"/>
    <w:rsid w:val="00033E6D"/>
    <w:rsid w:val="0003633E"/>
    <w:rsid w:val="00041292"/>
    <w:rsid w:val="00041E59"/>
    <w:rsid w:val="00042255"/>
    <w:rsid w:val="000449E4"/>
    <w:rsid w:val="000466BA"/>
    <w:rsid w:val="00054FBE"/>
    <w:rsid w:val="000561E4"/>
    <w:rsid w:val="0005724C"/>
    <w:rsid w:val="000703B5"/>
    <w:rsid w:val="00072DE5"/>
    <w:rsid w:val="00072EAA"/>
    <w:rsid w:val="00080309"/>
    <w:rsid w:val="0008770A"/>
    <w:rsid w:val="00092999"/>
    <w:rsid w:val="000954A3"/>
    <w:rsid w:val="000962DA"/>
    <w:rsid w:val="000A4649"/>
    <w:rsid w:val="000B2A84"/>
    <w:rsid w:val="000B408B"/>
    <w:rsid w:val="000B5F4E"/>
    <w:rsid w:val="000B704E"/>
    <w:rsid w:val="000B7A13"/>
    <w:rsid w:val="000B7D54"/>
    <w:rsid w:val="000C30C9"/>
    <w:rsid w:val="000C6AA4"/>
    <w:rsid w:val="000C7146"/>
    <w:rsid w:val="000C77C8"/>
    <w:rsid w:val="000D251C"/>
    <w:rsid w:val="000D6413"/>
    <w:rsid w:val="000D6F8B"/>
    <w:rsid w:val="000E2FAE"/>
    <w:rsid w:val="000F3389"/>
    <w:rsid w:val="000F3CC8"/>
    <w:rsid w:val="000F5975"/>
    <w:rsid w:val="000F7151"/>
    <w:rsid w:val="00106890"/>
    <w:rsid w:val="00117FE0"/>
    <w:rsid w:val="00121EB7"/>
    <w:rsid w:val="001249B0"/>
    <w:rsid w:val="00125605"/>
    <w:rsid w:val="0012720D"/>
    <w:rsid w:val="00131844"/>
    <w:rsid w:val="00132B26"/>
    <w:rsid w:val="00140AA9"/>
    <w:rsid w:val="001445B2"/>
    <w:rsid w:val="001479FB"/>
    <w:rsid w:val="001500A4"/>
    <w:rsid w:val="0015111B"/>
    <w:rsid w:val="00152349"/>
    <w:rsid w:val="00155F28"/>
    <w:rsid w:val="00160691"/>
    <w:rsid w:val="001614D2"/>
    <w:rsid w:val="00165D8A"/>
    <w:rsid w:val="001665DE"/>
    <w:rsid w:val="00173C58"/>
    <w:rsid w:val="00195C6F"/>
    <w:rsid w:val="001A03B3"/>
    <w:rsid w:val="001A4A3B"/>
    <w:rsid w:val="001B66F8"/>
    <w:rsid w:val="001B716C"/>
    <w:rsid w:val="001C4649"/>
    <w:rsid w:val="001C589A"/>
    <w:rsid w:val="001C68E1"/>
    <w:rsid w:val="001D7119"/>
    <w:rsid w:val="001D719E"/>
    <w:rsid w:val="001D7B6E"/>
    <w:rsid w:val="001E0B77"/>
    <w:rsid w:val="001E6D4E"/>
    <w:rsid w:val="001E7ED0"/>
    <w:rsid w:val="001F1830"/>
    <w:rsid w:val="001F342D"/>
    <w:rsid w:val="001F6A85"/>
    <w:rsid w:val="001F6F5E"/>
    <w:rsid w:val="001F7AB3"/>
    <w:rsid w:val="00204583"/>
    <w:rsid w:val="002136F3"/>
    <w:rsid w:val="00222511"/>
    <w:rsid w:val="00231848"/>
    <w:rsid w:val="0023185C"/>
    <w:rsid w:val="00234A59"/>
    <w:rsid w:val="00235BF5"/>
    <w:rsid w:val="002448D1"/>
    <w:rsid w:val="0025093F"/>
    <w:rsid w:val="00263D7F"/>
    <w:rsid w:val="00273177"/>
    <w:rsid w:val="00286CD6"/>
    <w:rsid w:val="00287B8C"/>
    <w:rsid w:val="00294509"/>
    <w:rsid w:val="002962AD"/>
    <w:rsid w:val="002A0046"/>
    <w:rsid w:val="002A6691"/>
    <w:rsid w:val="002B4454"/>
    <w:rsid w:val="002B5811"/>
    <w:rsid w:val="002B62F6"/>
    <w:rsid w:val="002C2994"/>
    <w:rsid w:val="002C620B"/>
    <w:rsid w:val="002D1402"/>
    <w:rsid w:val="002D5ABC"/>
    <w:rsid w:val="002E7F25"/>
    <w:rsid w:val="002F2BE4"/>
    <w:rsid w:val="002F375A"/>
    <w:rsid w:val="002F53B3"/>
    <w:rsid w:val="002F5778"/>
    <w:rsid w:val="002F7638"/>
    <w:rsid w:val="00301F18"/>
    <w:rsid w:val="00304508"/>
    <w:rsid w:val="0030671D"/>
    <w:rsid w:val="00315823"/>
    <w:rsid w:val="00316332"/>
    <w:rsid w:val="003179E2"/>
    <w:rsid w:val="00324BAA"/>
    <w:rsid w:val="00335850"/>
    <w:rsid w:val="00340D2F"/>
    <w:rsid w:val="00342B92"/>
    <w:rsid w:val="00346674"/>
    <w:rsid w:val="0034781F"/>
    <w:rsid w:val="00352093"/>
    <w:rsid w:val="00356FAD"/>
    <w:rsid w:val="00357151"/>
    <w:rsid w:val="00360175"/>
    <w:rsid w:val="0036428F"/>
    <w:rsid w:val="00373399"/>
    <w:rsid w:val="00377DF3"/>
    <w:rsid w:val="0038169F"/>
    <w:rsid w:val="0039446B"/>
    <w:rsid w:val="0039456C"/>
    <w:rsid w:val="003976D0"/>
    <w:rsid w:val="003B1450"/>
    <w:rsid w:val="003B5C4C"/>
    <w:rsid w:val="003C31F4"/>
    <w:rsid w:val="003C556A"/>
    <w:rsid w:val="003D03A0"/>
    <w:rsid w:val="003D1F04"/>
    <w:rsid w:val="003D273B"/>
    <w:rsid w:val="003D35FA"/>
    <w:rsid w:val="003D3877"/>
    <w:rsid w:val="003E02E4"/>
    <w:rsid w:val="003E0905"/>
    <w:rsid w:val="003E412A"/>
    <w:rsid w:val="003E46AA"/>
    <w:rsid w:val="003E53A0"/>
    <w:rsid w:val="003E6E0F"/>
    <w:rsid w:val="003F1F09"/>
    <w:rsid w:val="003F32E2"/>
    <w:rsid w:val="003F410F"/>
    <w:rsid w:val="00411245"/>
    <w:rsid w:val="004129AC"/>
    <w:rsid w:val="00414847"/>
    <w:rsid w:val="00415D81"/>
    <w:rsid w:val="00426C45"/>
    <w:rsid w:val="00426DB3"/>
    <w:rsid w:val="004273A8"/>
    <w:rsid w:val="00427AA9"/>
    <w:rsid w:val="00434AEE"/>
    <w:rsid w:val="0043502D"/>
    <w:rsid w:val="004439ED"/>
    <w:rsid w:val="004472A8"/>
    <w:rsid w:val="00447990"/>
    <w:rsid w:val="004534AC"/>
    <w:rsid w:val="00456111"/>
    <w:rsid w:val="0046436F"/>
    <w:rsid w:val="00467701"/>
    <w:rsid w:val="004862AE"/>
    <w:rsid w:val="00494070"/>
    <w:rsid w:val="00497D4C"/>
    <w:rsid w:val="004B2479"/>
    <w:rsid w:val="004B530C"/>
    <w:rsid w:val="004C5765"/>
    <w:rsid w:val="004C7246"/>
    <w:rsid w:val="004D48F6"/>
    <w:rsid w:val="004E7FBC"/>
    <w:rsid w:val="004F19F3"/>
    <w:rsid w:val="004F56ED"/>
    <w:rsid w:val="00502474"/>
    <w:rsid w:val="00503A10"/>
    <w:rsid w:val="00506F26"/>
    <w:rsid w:val="00506F42"/>
    <w:rsid w:val="00513D13"/>
    <w:rsid w:val="00514074"/>
    <w:rsid w:val="00517ADB"/>
    <w:rsid w:val="00523BE0"/>
    <w:rsid w:val="00530DB4"/>
    <w:rsid w:val="005357C9"/>
    <w:rsid w:val="00541292"/>
    <w:rsid w:val="00541C5D"/>
    <w:rsid w:val="005428BE"/>
    <w:rsid w:val="00554445"/>
    <w:rsid w:val="00560000"/>
    <w:rsid w:val="005649A8"/>
    <w:rsid w:val="00565149"/>
    <w:rsid w:val="00572E44"/>
    <w:rsid w:val="00576CEC"/>
    <w:rsid w:val="005770F5"/>
    <w:rsid w:val="00582ECC"/>
    <w:rsid w:val="005A0ECF"/>
    <w:rsid w:val="005A400A"/>
    <w:rsid w:val="005A5658"/>
    <w:rsid w:val="005A78DB"/>
    <w:rsid w:val="005B0457"/>
    <w:rsid w:val="005B04BA"/>
    <w:rsid w:val="005B0EAA"/>
    <w:rsid w:val="005B4AEB"/>
    <w:rsid w:val="005C3B67"/>
    <w:rsid w:val="005E27AD"/>
    <w:rsid w:val="005E456A"/>
    <w:rsid w:val="005E605E"/>
    <w:rsid w:val="005F3268"/>
    <w:rsid w:val="005F5030"/>
    <w:rsid w:val="005F5ED1"/>
    <w:rsid w:val="005F7A03"/>
    <w:rsid w:val="00601E79"/>
    <w:rsid w:val="00604678"/>
    <w:rsid w:val="00607C10"/>
    <w:rsid w:val="00607F48"/>
    <w:rsid w:val="00611899"/>
    <w:rsid w:val="00614BEE"/>
    <w:rsid w:val="00620A69"/>
    <w:rsid w:val="006236BB"/>
    <w:rsid w:val="00624E95"/>
    <w:rsid w:val="006310FC"/>
    <w:rsid w:val="00641ED0"/>
    <w:rsid w:val="006512D3"/>
    <w:rsid w:val="006563BA"/>
    <w:rsid w:val="00666978"/>
    <w:rsid w:val="00666C09"/>
    <w:rsid w:val="00676728"/>
    <w:rsid w:val="00677034"/>
    <w:rsid w:val="00677811"/>
    <w:rsid w:val="00677D18"/>
    <w:rsid w:val="00682065"/>
    <w:rsid w:val="00685F21"/>
    <w:rsid w:val="00686077"/>
    <w:rsid w:val="006A1B21"/>
    <w:rsid w:val="006A2D47"/>
    <w:rsid w:val="006A392E"/>
    <w:rsid w:val="006A5FA6"/>
    <w:rsid w:val="006B02B6"/>
    <w:rsid w:val="006C1FB3"/>
    <w:rsid w:val="006C6411"/>
    <w:rsid w:val="006C64D2"/>
    <w:rsid w:val="006D42C2"/>
    <w:rsid w:val="006D67F4"/>
    <w:rsid w:val="006D75B2"/>
    <w:rsid w:val="006E33DD"/>
    <w:rsid w:val="006F184F"/>
    <w:rsid w:val="007062E7"/>
    <w:rsid w:val="00715F4B"/>
    <w:rsid w:val="007273BD"/>
    <w:rsid w:val="0073053B"/>
    <w:rsid w:val="00731462"/>
    <w:rsid w:val="00737358"/>
    <w:rsid w:val="00741557"/>
    <w:rsid w:val="0074216D"/>
    <w:rsid w:val="0075231A"/>
    <w:rsid w:val="007527B9"/>
    <w:rsid w:val="00760ED7"/>
    <w:rsid w:val="00762E3A"/>
    <w:rsid w:val="0076427D"/>
    <w:rsid w:val="007805DD"/>
    <w:rsid w:val="00792C7E"/>
    <w:rsid w:val="00795B88"/>
    <w:rsid w:val="007A2EC7"/>
    <w:rsid w:val="007A3981"/>
    <w:rsid w:val="007A4EA1"/>
    <w:rsid w:val="007A557A"/>
    <w:rsid w:val="007B02A7"/>
    <w:rsid w:val="007B6364"/>
    <w:rsid w:val="007B76DC"/>
    <w:rsid w:val="007C624D"/>
    <w:rsid w:val="007D3ECE"/>
    <w:rsid w:val="007D4A6C"/>
    <w:rsid w:val="007E09AA"/>
    <w:rsid w:val="007E33D8"/>
    <w:rsid w:val="007E3FAA"/>
    <w:rsid w:val="007E469E"/>
    <w:rsid w:val="007E547C"/>
    <w:rsid w:val="007E7B46"/>
    <w:rsid w:val="00800E45"/>
    <w:rsid w:val="00803579"/>
    <w:rsid w:val="00805799"/>
    <w:rsid w:val="00812D8A"/>
    <w:rsid w:val="00814BC9"/>
    <w:rsid w:val="00814E3E"/>
    <w:rsid w:val="00820419"/>
    <w:rsid w:val="008220CA"/>
    <w:rsid w:val="00824703"/>
    <w:rsid w:val="0082563C"/>
    <w:rsid w:val="0082677A"/>
    <w:rsid w:val="00830767"/>
    <w:rsid w:val="0083347C"/>
    <w:rsid w:val="00837E09"/>
    <w:rsid w:val="00841EF5"/>
    <w:rsid w:val="00843EF8"/>
    <w:rsid w:val="0085115D"/>
    <w:rsid w:val="008523FC"/>
    <w:rsid w:val="0085475A"/>
    <w:rsid w:val="00854FBC"/>
    <w:rsid w:val="00871DB6"/>
    <w:rsid w:val="00873545"/>
    <w:rsid w:val="00877168"/>
    <w:rsid w:val="00877174"/>
    <w:rsid w:val="00877A6B"/>
    <w:rsid w:val="00883AF6"/>
    <w:rsid w:val="0089133B"/>
    <w:rsid w:val="00892321"/>
    <w:rsid w:val="0089381C"/>
    <w:rsid w:val="008957AE"/>
    <w:rsid w:val="008B01F6"/>
    <w:rsid w:val="008B53F8"/>
    <w:rsid w:val="008B62D2"/>
    <w:rsid w:val="008E046B"/>
    <w:rsid w:val="008E2CAB"/>
    <w:rsid w:val="008E472D"/>
    <w:rsid w:val="00903A12"/>
    <w:rsid w:val="00904B06"/>
    <w:rsid w:val="00911D14"/>
    <w:rsid w:val="009221A6"/>
    <w:rsid w:val="009245CB"/>
    <w:rsid w:val="00930051"/>
    <w:rsid w:val="009336D1"/>
    <w:rsid w:val="009345FE"/>
    <w:rsid w:val="00935FB5"/>
    <w:rsid w:val="009360E5"/>
    <w:rsid w:val="00937671"/>
    <w:rsid w:val="00940917"/>
    <w:rsid w:val="00944D08"/>
    <w:rsid w:val="00947B10"/>
    <w:rsid w:val="00951F89"/>
    <w:rsid w:val="009635DC"/>
    <w:rsid w:val="00971478"/>
    <w:rsid w:val="00974ED5"/>
    <w:rsid w:val="00977742"/>
    <w:rsid w:val="00981154"/>
    <w:rsid w:val="00985616"/>
    <w:rsid w:val="009874F5"/>
    <w:rsid w:val="00987C8F"/>
    <w:rsid w:val="009974C7"/>
    <w:rsid w:val="009A082D"/>
    <w:rsid w:val="009A26AA"/>
    <w:rsid w:val="009A3296"/>
    <w:rsid w:val="009A4EB5"/>
    <w:rsid w:val="009C7513"/>
    <w:rsid w:val="009E4E81"/>
    <w:rsid w:val="009E5B6D"/>
    <w:rsid w:val="009F0204"/>
    <w:rsid w:val="009F2EDF"/>
    <w:rsid w:val="009F3780"/>
    <w:rsid w:val="009F64A3"/>
    <w:rsid w:val="009F65A1"/>
    <w:rsid w:val="009F74E4"/>
    <w:rsid w:val="009F78C0"/>
    <w:rsid w:val="00A056B0"/>
    <w:rsid w:val="00A05C25"/>
    <w:rsid w:val="00A13578"/>
    <w:rsid w:val="00A13AEC"/>
    <w:rsid w:val="00A22080"/>
    <w:rsid w:val="00A243AE"/>
    <w:rsid w:val="00A26C1A"/>
    <w:rsid w:val="00A32EB1"/>
    <w:rsid w:val="00A34DA8"/>
    <w:rsid w:val="00A40F8A"/>
    <w:rsid w:val="00A4421E"/>
    <w:rsid w:val="00A476AB"/>
    <w:rsid w:val="00A50BF9"/>
    <w:rsid w:val="00A64B45"/>
    <w:rsid w:val="00A702C6"/>
    <w:rsid w:val="00A80346"/>
    <w:rsid w:val="00A807CA"/>
    <w:rsid w:val="00A810EF"/>
    <w:rsid w:val="00A81258"/>
    <w:rsid w:val="00A82111"/>
    <w:rsid w:val="00A83719"/>
    <w:rsid w:val="00A8732E"/>
    <w:rsid w:val="00A9088B"/>
    <w:rsid w:val="00A90B68"/>
    <w:rsid w:val="00A95F2C"/>
    <w:rsid w:val="00AB044C"/>
    <w:rsid w:val="00AB125C"/>
    <w:rsid w:val="00AB1944"/>
    <w:rsid w:val="00AB2EB1"/>
    <w:rsid w:val="00AB6A62"/>
    <w:rsid w:val="00AC03EE"/>
    <w:rsid w:val="00AC2394"/>
    <w:rsid w:val="00AC4332"/>
    <w:rsid w:val="00AC624C"/>
    <w:rsid w:val="00AC7779"/>
    <w:rsid w:val="00AD0BD3"/>
    <w:rsid w:val="00AD763F"/>
    <w:rsid w:val="00AE3A78"/>
    <w:rsid w:val="00AE56AB"/>
    <w:rsid w:val="00AF62AC"/>
    <w:rsid w:val="00B004F9"/>
    <w:rsid w:val="00B007E8"/>
    <w:rsid w:val="00B03092"/>
    <w:rsid w:val="00B06F36"/>
    <w:rsid w:val="00B16A54"/>
    <w:rsid w:val="00B21B52"/>
    <w:rsid w:val="00B23D22"/>
    <w:rsid w:val="00B2568A"/>
    <w:rsid w:val="00B31148"/>
    <w:rsid w:val="00B315BE"/>
    <w:rsid w:val="00B32EBA"/>
    <w:rsid w:val="00B36200"/>
    <w:rsid w:val="00B45E92"/>
    <w:rsid w:val="00B51B23"/>
    <w:rsid w:val="00B55225"/>
    <w:rsid w:val="00B60B15"/>
    <w:rsid w:val="00B6185A"/>
    <w:rsid w:val="00B63AFC"/>
    <w:rsid w:val="00B84E1F"/>
    <w:rsid w:val="00B85CA9"/>
    <w:rsid w:val="00B9024D"/>
    <w:rsid w:val="00B9600B"/>
    <w:rsid w:val="00BA4B32"/>
    <w:rsid w:val="00BA6624"/>
    <w:rsid w:val="00BA666B"/>
    <w:rsid w:val="00BA7AB0"/>
    <w:rsid w:val="00BB3C2F"/>
    <w:rsid w:val="00BB6917"/>
    <w:rsid w:val="00BB7A73"/>
    <w:rsid w:val="00BC01C7"/>
    <w:rsid w:val="00BC5F7A"/>
    <w:rsid w:val="00BC72CD"/>
    <w:rsid w:val="00BC7EB1"/>
    <w:rsid w:val="00BD2E01"/>
    <w:rsid w:val="00BD30E7"/>
    <w:rsid w:val="00BD48B2"/>
    <w:rsid w:val="00BD5284"/>
    <w:rsid w:val="00BD6C77"/>
    <w:rsid w:val="00BE0ACA"/>
    <w:rsid w:val="00BE1F71"/>
    <w:rsid w:val="00BE6BBE"/>
    <w:rsid w:val="00C01476"/>
    <w:rsid w:val="00C07783"/>
    <w:rsid w:val="00C10D59"/>
    <w:rsid w:val="00C1421C"/>
    <w:rsid w:val="00C21A47"/>
    <w:rsid w:val="00C23D86"/>
    <w:rsid w:val="00C24003"/>
    <w:rsid w:val="00C24317"/>
    <w:rsid w:val="00C37738"/>
    <w:rsid w:val="00C41332"/>
    <w:rsid w:val="00C56716"/>
    <w:rsid w:val="00C65B83"/>
    <w:rsid w:val="00C7019D"/>
    <w:rsid w:val="00C72781"/>
    <w:rsid w:val="00C81037"/>
    <w:rsid w:val="00C857D2"/>
    <w:rsid w:val="00C873B6"/>
    <w:rsid w:val="00C92048"/>
    <w:rsid w:val="00C95556"/>
    <w:rsid w:val="00CA1E8F"/>
    <w:rsid w:val="00CA2E3B"/>
    <w:rsid w:val="00CA722F"/>
    <w:rsid w:val="00CB5E40"/>
    <w:rsid w:val="00CB6E78"/>
    <w:rsid w:val="00CB7037"/>
    <w:rsid w:val="00CC32CD"/>
    <w:rsid w:val="00CC36A2"/>
    <w:rsid w:val="00CC553D"/>
    <w:rsid w:val="00CC564C"/>
    <w:rsid w:val="00CC595E"/>
    <w:rsid w:val="00CC6430"/>
    <w:rsid w:val="00CC79C1"/>
    <w:rsid w:val="00CE1795"/>
    <w:rsid w:val="00CE6CDF"/>
    <w:rsid w:val="00CF0E85"/>
    <w:rsid w:val="00CF6142"/>
    <w:rsid w:val="00D06B8F"/>
    <w:rsid w:val="00D07A71"/>
    <w:rsid w:val="00D101D9"/>
    <w:rsid w:val="00D2237F"/>
    <w:rsid w:val="00D33AEC"/>
    <w:rsid w:val="00D345F5"/>
    <w:rsid w:val="00D3713E"/>
    <w:rsid w:val="00D377D0"/>
    <w:rsid w:val="00D37B36"/>
    <w:rsid w:val="00D4652F"/>
    <w:rsid w:val="00D475A5"/>
    <w:rsid w:val="00D53925"/>
    <w:rsid w:val="00D54780"/>
    <w:rsid w:val="00D54E8A"/>
    <w:rsid w:val="00D635AF"/>
    <w:rsid w:val="00D66B63"/>
    <w:rsid w:val="00D67680"/>
    <w:rsid w:val="00D70965"/>
    <w:rsid w:val="00D7106E"/>
    <w:rsid w:val="00D73B33"/>
    <w:rsid w:val="00D849E6"/>
    <w:rsid w:val="00D857AD"/>
    <w:rsid w:val="00D87C5A"/>
    <w:rsid w:val="00D950EC"/>
    <w:rsid w:val="00D95133"/>
    <w:rsid w:val="00D95B8D"/>
    <w:rsid w:val="00DA0007"/>
    <w:rsid w:val="00DA393B"/>
    <w:rsid w:val="00DA532D"/>
    <w:rsid w:val="00DC0645"/>
    <w:rsid w:val="00DC20C3"/>
    <w:rsid w:val="00DC34AA"/>
    <w:rsid w:val="00DC5F3E"/>
    <w:rsid w:val="00DC6163"/>
    <w:rsid w:val="00DC6A50"/>
    <w:rsid w:val="00DD0EE7"/>
    <w:rsid w:val="00DD0FDE"/>
    <w:rsid w:val="00DD3455"/>
    <w:rsid w:val="00DD391E"/>
    <w:rsid w:val="00DE0664"/>
    <w:rsid w:val="00DE3194"/>
    <w:rsid w:val="00DE3C77"/>
    <w:rsid w:val="00DF2DCB"/>
    <w:rsid w:val="00DF4220"/>
    <w:rsid w:val="00DF5514"/>
    <w:rsid w:val="00DF75AE"/>
    <w:rsid w:val="00E001FD"/>
    <w:rsid w:val="00E04DD2"/>
    <w:rsid w:val="00E06CE0"/>
    <w:rsid w:val="00E06DE0"/>
    <w:rsid w:val="00E07CBE"/>
    <w:rsid w:val="00E12DAE"/>
    <w:rsid w:val="00E258C8"/>
    <w:rsid w:val="00E26142"/>
    <w:rsid w:val="00E31BA7"/>
    <w:rsid w:val="00E37BB5"/>
    <w:rsid w:val="00E471AD"/>
    <w:rsid w:val="00E47476"/>
    <w:rsid w:val="00E52BD1"/>
    <w:rsid w:val="00E5339F"/>
    <w:rsid w:val="00E569C2"/>
    <w:rsid w:val="00E61A17"/>
    <w:rsid w:val="00E646C3"/>
    <w:rsid w:val="00E72861"/>
    <w:rsid w:val="00E74787"/>
    <w:rsid w:val="00E82D02"/>
    <w:rsid w:val="00E83C35"/>
    <w:rsid w:val="00E87CD7"/>
    <w:rsid w:val="00E95E5E"/>
    <w:rsid w:val="00E9710C"/>
    <w:rsid w:val="00EA1923"/>
    <w:rsid w:val="00EA357D"/>
    <w:rsid w:val="00EA5366"/>
    <w:rsid w:val="00EA6958"/>
    <w:rsid w:val="00EB6E03"/>
    <w:rsid w:val="00EC4251"/>
    <w:rsid w:val="00EC6865"/>
    <w:rsid w:val="00EC7AE4"/>
    <w:rsid w:val="00ED04E4"/>
    <w:rsid w:val="00ED4F03"/>
    <w:rsid w:val="00EE614B"/>
    <w:rsid w:val="00EF0B8A"/>
    <w:rsid w:val="00EF4C7D"/>
    <w:rsid w:val="00F050E6"/>
    <w:rsid w:val="00F120FD"/>
    <w:rsid w:val="00F14352"/>
    <w:rsid w:val="00F2010D"/>
    <w:rsid w:val="00F247C3"/>
    <w:rsid w:val="00F25E66"/>
    <w:rsid w:val="00F2662D"/>
    <w:rsid w:val="00F26A6B"/>
    <w:rsid w:val="00F3459F"/>
    <w:rsid w:val="00F410DF"/>
    <w:rsid w:val="00F42429"/>
    <w:rsid w:val="00F54914"/>
    <w:rsid w:val="00F57B05"/>
    <w:rsid w:val="00F57ECF"/>
    <w:rsid w:val="00F601FA"/>
    <w:rsid w:val="00F637D1"/>
    <w:rsid w:val="00F63BDC"/>
    <w:rsid w:val="00F6475E"/>
    <w:rsid w:val="00F65069"/>
    <w:rsid w:val="00F65E70"/>
    <w:rsid w:val="00F66F76"/>
    <w:rsid w:val="00F6725D"/>
    <w:rsid w:val="00F703A5"/>
    <w:rsid w:val="00F72DB7"/>
    <w:rsid w:val="00F77880"/>
    <w:rsid w:val="00F85B9E"/>
    <w:rsid w:val="00F861F5"/>
    <w:rsid w:val="00F86DB1"/>
    <w:rsid w:val="00F92527"/>
    <w:rsid w:val="00F9384C"/>
    <w:rsid w:val="00FA0FDB"/>
    <w:rsid w:val="00FA6A6E"/>
    <w:rsid w:val="00FA74FF"/>
    <w:rsid w:val="00FA764E"/>
    <w:rsid w:val="00FB2BDF"/>
    <w:rsid w:val="00FC1045"/>
    <w:rsid w:val="00FD0CD6"/>
    <w:rsid w:val="00FD43E2"/>
    <w:rsid w:val="00FD6FEE"/>
    <w:rsid w:val="00FD7999"/>
    <w:rsid w:val="00FE1FF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181A"/>
  <w15:docId w15:val="{19816BAE-BF2A-46FB-9670-8A2F81F5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0F33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A69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qFormat/>
    <w:rsid w:val="00342B92"/>
    <w:pPr>
      <w:suppressLineNumbers/>
      <w:suppressAutoHyphens/>
    </w:pPr>
  </w:style>
  <w:style w:type="character" w:customStyle="1" w:styleId="Naslov1Char">
    <w:name w:val="Naslov 1 Char"/>
    <w:basedOn w:val="Zadanifontodlomka"/>
    <w:link w:val="Naslov1"/>
    <w:uiPriority w:val="9"/>
    <w:rsid w:val="00B004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proreda">
    <w:name w:val="No Spacing"/>
    <w:uiPriority w:val="1"/>
    <w:qFormat/>
    <w:rsid w:val="007B0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01E7-3DF9-4EAE-8B57-168F6191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Marija Karamarko</cp:lastModifiedBy>
  <cp:revision>53</cp:revision>
  <cp:lastPrinted>2024-06-10T12:27:00Z</cp:lastPrinted>
  <dcterms:created xsi:type="dcterms:W3CDTF">2024-05-24T09:02:00Z</dcterms:created>
  <dcterms:modified xsi:type="dcterms:W3CDTF">2024-06-20T12:54:00Z</dcterms:modified>
</cp:coreProperties>
</file>