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A454C" w14:paraId="0CD5AB20" w14:textId="77777777">
        <w:tblPrEx>
          <w:tblCellMar>
            <w:top w:w="0" w:type="dxa"/>
            <w:bottom w:w="0" w:type="dxa"/>
          </w:tblCellMar>
        </w:tblPrEx>
        <w:trPr>
          <w:tblCellSpacing w:w="60" w:type="dxa"/>
        </w:trPr>
        <w:tc>
          <w:tcPr>
            <w:tcW w:w="1200" w:type="pct"/>
            <w:shd w:val="clear" w:color="auto" w:fill="E7F0F9"/>
          </w:tcPr>
          <w:p w14:paraId="5616662B" w14:textId="77777777" w:rsidR="009A454C" w:rsidRDefault="00000000">
            <w:pPr>
              <w:spacing w:after="0" w:line="240" w:lineRule="auto"/>
            </w:pPr>
            <w:r>
              <w:rPr>
                <w:b/>
              </w:rPr>
              <w:t>RKP broj</w:t>
            </w:r>
          </w:p>
        </w:tc>
        <w:tc>
          <w:tcPr>
            <w:tcW w:w="0" w:type="auto"/>
            <w:shd w:val="clear" w:color="auto" w:fill="E7F0F9"/>
          </w:tcPr>
          <w:p w14:paraId="345A720A" w14:textId="77777777" w:rsidR="009A454C" w:rsidRDefault="00000000">
            <w:pPr>
              <w:spacing w:after="0" w:line="240" w:lineRule="auto"/>
            </w:pPr>
            <w:r>
              <w:t>7737</w:t>
            </w:r>
          </w:p>
        </w:tc>
      </w:tr>
      <w:tr w:rsidR="009A454C" w14:paraId="2FE9C311" w14:textId="77777777">
        <w:tblPrEx>
          <w:tblCellMar>
            <w:top w:w="0" w:type="dxa"/>
            <w:bottom w:w="0" w:type="dxa"/>
          </w:tblCellMar>
        </w:tblPrEx>
        <w:trPr>
          <w:tblCellSpacing w:w="60" w:type="dxa"/>
        </w:trPr>
        <w:tc>
          <w:tcPr>
            <w:tcW w:w="1200" w:type="pct"/>
            <w:shd w:val="clear" w:color="auto" w:fill="E7F0F9"/>
          </w:tcPr>
          <w:p w14:paraId="7C1294A8" w14:textId="77777777" w:rsidR="009A454C" w:rsidRDefault="00000000">
            <w:pPr>
              <w:spacing w:after="0" w:line="240" w:lineRule="auto"/>
            </w:pPr>
            <w:r>
              <w:rPr>
                <w:b/>
              </w:rPr>
              <w:t>Naziv obveznika</w:t>
            </w:r>
          </w:p>
        </w:tc>
        <w:tc>
          <w:tcPr>
            <w:tcW w:w="0" w:type="auto"/>
            <w:shd w:val="clear" w:color="auto" w:fill="E7F0F9"/>
          </w:tcPr>
          <w:p w14:paraId="6FDDED69" w14:textId="77777777" w:rsidR="009A454C" w:rsidRDefault="00000000">
            <w:pPr>
              <w:spacing w:after="0" w:line="240" w:lineRule="auto"/>
            </w:pPr>
            <w:r>
              <w:t>DOM ZA STARIJE OSOBE VOLOSKO OPATIJA</w:t>
            </w:r>
          </w:p>
        </w:tc>
      </w:tr>
      <w:tr w:rsidR="009A454C" w14:paraId="4250E6C1" w14:textId="77777777">
        <w:tblPrEx>
          <w:tblCellMar>
            <w:top w:w="0" w:type="dxa"/>
            <w:bottom w:w="0" w:type="dxa"/>
          </w:tblCellMar>
        </w:tblPrEx>
        <w:trPr>
          <w:tblCellSpacing w:w="60" w:type="dxa"/>
        </w:trPr>
        <w:tc>
          <w:tcPr>
            <w:tcW w:w="1200" w:type="pct"/>
            <w:shd w:val="clear" w:color="auto" w:fill="E7F0F9"/>
          </w:tcPr>
          <w:p w14:paraId="35ED28A3" w14:textId="77777777" w:rsidR="009A454C" w:rsidRDefault="00000000">
            <w:pPr>
              <w:spacing w:after="0" w:line="240" w:lineRule="auto"/>
            </w:pPr>
            <w:r>
              <w:rPr>
                <w:b/>
              </w:rPr>
              <w:t>Razina</w:t>
            </w:r>
          </w:p>
        </w:tc>
        <w:tc>
          <w:tcPr>
            <w:tcW w:w="0" w:type="auto"/>
            <w:shd w:val="clear" w:color="auto" w:fill="E7F0F9"/>
          </w:tcPr>
          <w:p w14:paraId="663CB74D" w14:textId="77777777" w:rsidR="009A454C" w:rsidRDefault="00000000">
            <w:pPr>
              <w:spacing w:after="0" w:line="240" w:lineRule="auto"/>
            </w:pPr>
            <w:r>
              <w:t>31</w:t>
            </w:r>
          </w:p>
        </w:tc>
      </w:tr>
    </w:tbl>
    <w:p w14:paraId="34B15587" w14:textId="77777777" w:rsidR="009A454C" w:rsidRDefault="00000000">
      <w:r>
        <w:br/>
      </w:r>
    </w:p>
    <w:p w14:paraId="122AE69A" w14:textId="77777777" w:rsidR="009A454C" w:rsidRDefault="00000000">
      <w:pPr>
        <w:spacing w:line="240" w:lineRule="auto"/>
        <w:jc w:val="center"/>
      </w:pPr>
      <w:r>
        <w:rPr>
          <w:b/>
          <w:sz w:val="28"/>
        </w:rPr>
        <w:t>BILJEŠKE UZ FINANCIJSKE IZVJEŠTAJE</w:t>
      </w:r>
    </w:p>
    <w:p w14:paraId="12DD4B29" w14:textId="77777777" w:rsidR="009A454C" w:rsidRDefault="00000000">
      <w:pPr>
        <w:spacing w:line="240" w:lineRule="auto"/>
        <w:jc w:val="center"/>
      </w:pPr>
      <w:r>
        <w:rPr>
          <w:b/>
          <w:sz w:val="28"/>
        </w:rPr>
        <w:t>ZA RAZDOBLJE</w:t>
      </w:r>
    </w:p>
    <w:p w14:paraId="4E9913A0" w14:textId="77777777" w:rsidR="009A454C" w:rsidRDefault="00000000">
      <w:pPr>
        <w:spacing w:line="240" w:lineRule="auto"/>
        <w:jc w:val="center"/>
      </w:pPr>
      <w:r>
        <w:rPr>
          <w:b/>
          <w:sz w:val="28"/>
        </w:rPr>
        <w:t>I - III 2026.</w:t>
      </w:r>
    </w:p>
    <w:p w14:paraId="6192AFA6" w14:textId="77777777" w:rsidR="009A454C" w:rsidRDefault="009A454C"/>
    <w:p w14:paraId="53695AEE" w14:textId="77777777" w:rsidR="009A454C" w:rsidRDefault="00000000">
      <w:pPr>
        <w:keepNext/>
        <w:spacing w:line="240" w:lineRule="auto"/>
        <w:jc w:val="center"/>
      </w:pPr>
      <w:r>
        <w:rPr>
          <w:b/>
          <w:sz w:val="28"/>
        </w:rPr>
        <w:t>Izvještaj o prihodima i rashodima, primicima i izdacima</w:t>
      </w:r>
    </w:p>
    <w:p w14:paraId="0BD23E52" w14:textId="77777777" w:rsidR="009A454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0F49FB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D8BCF"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D94AA1"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10F8CE"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5A31E"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EF9D26"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6CA030" w14:textId="77777777" w:rsidR="009A454C" w:rsidRDefault="00000000">
            <w:pPr>
              <w:keepNext/>
              <w:keepLines/>
              <w:spacing w:after="0" w:line="240" w:lineRule="auto"/>
              <w:jc w:val="center"/>
            </w:pPr>
            <w:r>
              <w:rPr>
                <w:b/>
                <w:sz w:val="18"/>
              </w:rPr>
              <w:t>Indeks (%)</w:t>
            </w:r>
          </w:p>
        </w:tc>
      </w:tr>
      <w:tr w:rsidR="009A454C" w14:paraId="50FEB50F" w14:textId="77777777">
        <w:tblPrEx>
          <w:tblCellMar>
            <w:top w:w="0" w:type="dxa"/>
            <w:bottom w:w="0" w:type="dxa"/>
          </w:tblCellMar>
        </w:tblPrEx>
        <w:trPr>
          <w:cantSplit/>
          <w:trHeight w:val="560"/>
        </w:trPr>
        <w:tc>
          <w:tcPr>
            <w:tcW w:w="700" w:type="dxa"/>
            <w:tcMar>
              <w:top w:w="0" w:type="dxa"/>
              <w:bottom w:w="0" w:type="dxa"/>
            </w:tcMar>
            <w:vAlign w:val="center"/>
          </w:tcPr>
          <w:p w14:paraId="2449C697" w14:textId="77777777" w:rsidR="009A454C" w:rsidRDefault="00000000">
            <w:pPr>
              <w:keepNext/>
              <w:keepLines/>
              <w:spacing w:after="0" w:line="240" w:lineRule="auto"/>
            </w:pPr>
            <w:r>
              <w:rPr>
                <w:sz w:val="18"/>
              </w:rPr>
              <w:t>6</w:t>
            </w:r>
          </w:p>
        </w:tc>
        <w:tc>
          <w:tcPr>
            <w:tcW w:w="3180" w:type="dxa"/>
            <w:tcMar>
              <w:top w:w="0" w:type="dxa"/>
              <w:bottom w:w="0" w:type="dxa"/>
            </w:tcMar>
            <w:vAlign w:val="center"/>
          </w:tcPr>
          <w:p w14:paraId="3D544A0D" w14:textId="77777777" w:rsidR="009A454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5A99B3A" w14:textId="77777777" w:rsidR="009A454C" w:rsidRDefault="00000000">
            <w:pPr>
              <w:keepNext/>
              <w:keepLines/>
              <w:spacing w:after="0" w:line="240" w:lineRule="auto"/>
            </w:pPr>
            <w:r>
              <w:rPr>
                <w:sz w:val="18"/>
              </w:rPr>
              <w:t>6</w:t>
            </w:r>
          </w:p>
        </w:tc>
        <w:tc>
          <w:tcPr>
            <w:tcW w:w="1860" w:type="dxa"/>
            <w:tcMar>
              <w:top w:w="0" w:type="dxa"/>
              <w:bottom w:w="0" w:type="dxa"/>
            </w:tcMar>
            <w:vAlign w:val="center"/>
          </w:tcPr>
          <w:p w14:paraId="36B4FD5A" w14:textId="77777777" w:rsidR="009A454C" w:rsidRDefault="00000000">
            <w:pPr>
              <w:keepNext/>
              <w:keepLines/>
              <w:spacing w:after="0" w:line="240" w:lineRule="auto"/>
              <w:jc w:val="right"/>
            </w:pPr>
            <w:r>
              <w:rPr>
                <w:sz w:val="18"/>
              </w:rPr>
              <w:t>475.945,50</w:t>
            </w:r>
          </w:p>
        </w:tc>
        <w:tc>
          <w:tcPr>
            <w:tcW w:w="1860" w:type="dxa"/>
            <w:tcMar>
              <w:top w:w="0" w:type="dxa"/>
              <w:bottom w:w="0" w:type="dxa"/>
            </w:tcMar>
            <w:vAlign w:val="center"/>
          </w:tcPr>
          <w:p w14:paraId="58683425" w14:textId="77777777" w:rsidR="009A454C" w:rsidRDefault="00000000">
            <w:pPr>
              <w:keepNext/>
              <w:keepLines/>
              <w:spacing w:after="0" w:line="240" w:lineRule="auto"/>
              <w:jc w:val="right"/>
            </w:pPr>
            <w:r>
              <w:rPr>
                <w:sz w:val="18"/>
              </w:rPr>
              <w:t>460.220,94</w:t>
            </w:r>
          </w:p>
        </w:tc>
        <w:tc>
          <w:tcPr>
            <w:tcW w:w="700" w:type="dxa"/>
            <w:tcMar>
              <w:top w:w="0" w:type="dxa"/>
              <w:bottom w:w="0" w:type="dxa"/>
            </w:tcMar>
            <w:vAlign w:val="center"/>
          </w:tcPr>
          <w:p w14:paraId="30A5501A" w14:textId="77777777" w:rsidR="009A454C" w:rsidRDefault="00000000">
            <w:pPr>
              <w:keepNext/>
              <w:keepLines/>
              <w:spacing w:after="0" w:line="240" w:lineRule="auto"/>
              <w:jc w:val="right"/>
            </w:pPr>
            <w:r>
              <w:rPr>
                <w:sz w:val="18"/>
              </w:rPr>
              <w:t>96,7</w:t>
            </w:r>
          </w:p>
        </w:tc>
      </w:tr>
      <w:tr w:rsidR="009A454C" w14:paraId="56E04A4F" w14:textId="77777777">
        <w:tblPrEx>
          <w:tblCellMar>
            <w:top w:w="0" w:type="dxa"/>
            <w:bottom w:w="0" w:type="dxa"/>
          </w:tblCellMar>
        </w:tblPrEx>
        <w:trPr>
          <w:cantSplit/>
          <w:trHeight w:val="560"/>
        </w:trPr>
        <w:tc>
          <w:tcPr>
            <w:tcW w:w="700" w:type="dxa"/>
            <w:tcMar>
              <w:top w:w="0" w:type="dxa"/>
              <w:bottom w:w="0" w:type="dxa"/>
            </w:tcMar>
            <w:vAlign w:val="center"/>
          </w:tcPr>
          <w:p w14:paraId="5674E274" w14:textId="77777777" w:rsidR="009A454C" w:rsidRDefault="00000000">
            <w:pPr>
              <w:keepNext/>
              <w:keepLines/>
              <w:spacing w:after="0" w:line="240" w:lineRule="auto"/>
            </w:pPr>
            <w:r>
              <w:rPr>
                <w:sz w:val="18"/>
              </w:rPr>
              <w:t>3</w:t>
            </w:r>
          </w:p>
        </w:tc>
        <w:tc>
          <w:tcPr>
            <w:tcW w:w="3180" w:type="dxa"/>
            <w:tcMar>
              <w:top w:w="0" w:type="dxa"/>
              <w:bottom w:w="0" w:type="dxa"/>
            </w:tcMar>
            <w:vAlign w:val="center"/>
          </w:tcPr>
          <w:p w14:paraId="5D206C75" w14:textId="77777777" w:rsidR="009A454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FEDA90F" w14:textId="77777777" w:rsidR="009A454C" w:rsidRDefault="00000000">
            <w:pPr>
              <w:keepNext/>
              <w:keepLines/>
              <w:spacing w:after="0" w:line="240" w:lineRule="auto"/>
            </w:pPr>
            <w:r>
              <w:rPr>
                <w:sz w:val="18"/>
              </w:rPr>
              <w:t>3</w:t>
            </w:r>
          </w:p>
        </w:tc>
        <w:tc>
          <w:tcPr>
            <w:tcW w:w="1860" w:type="dxa"/>
            <w:tcMar>
              <w:top w:w="0" w:type="dxa"/>
              <w:bottom w:w="0" w:type="dxa"/>
            </w:tcMar>
            <w:vAlign w:val="center"/>
          </w:tcPr>
          <w:p w14:paraId="1B7B7526" w14:textId="77777777" w:rsidR="009A454C" w:rsidRDefault="00000000">
            <w:pPr>
              <w:keepNext/>
              <w:keepLines/>
              <w:spacing w:after="0" w:line="240" w:lineRule="auto"/>
              <w:jc w:val="right"/>
            </w:pPr>
            <w:r>
              <w:rPr>
                <w:sz w:val="18"/>
              </w:rPr>
              <w:t>591.441,02</w:t>
            </w:r>
          </w:p>
        </w:tc>
        <w:tc>
          <w:tcPr>
            <w:tcW w:w="1860" w:type="dxa"/>
            <w:tcMar>
              <w:top w:w="0" w:type="dxa"/>
              <w:bottom w:w="0" w:type="dxa"/>
            </w:tcMar>
            <w:vAlign w:val="center"/>
          </w:tcPr>
          <w:p w14:paraId="6A49FE55" w14:textId="77777777" w:rsidR="009A454C" w:rsidRDefault="00000000">
            <w:pPr>
              <w:keepNext/>
              <w:keepLines/>
              <w:spacing w:after="0" w:line="240" w:lineRule="auto"/>
              <w:jc w:val="right"/>
            </w:pPr>
            <w:r>
              <w:rPr>
                <w:sz w:val="18"/>
              </w:rPr>
              <w:t>487.195,38</w:t>
            </w:r>
          </w:p>
        </w:tc>
        <w:tc>
          <w:tcPr>
            <w:tcW w:w="700" w:type="dxa"/>
            <w:tcMar>
              <w:top w:w="0" w:type="dxa"/>
              <w:bottom w:w="0" w:type="dxa"/>
            </w:tcMar>
            <w:vAlign w:val="center"/>
          </w:tcPr>
          <w:p w14:paraId="33AEE051" w14:textId="77777777" w:rsidR="009A454C" w:rsidRDefault="00000000">
            <w:pPr>
              <w:keepNext/>
              <w:keepLines/>
              <w:spacing w:after="0" w:line="240" w:lineRule="auto"/>
              <w:jc w:val="right"/>
            </w:pPr>
            <w:r>
              <w:rPr>
                <w:sz w:val="18"/>
              </w:rPr>
              <w:t>82,4</w:t>
            </w:r>
          </w:p>
        </w:tc>
      </w:tr>
      <w:tr w:rsidR="009A454C" w14:paraId="0EA4CA50" w14:textId="77777777">
        <w:tblPrEx>
          <w:tblCellMar>
            <w:top w:w="0" w:type="dxa"/>
            <w:bottom w:w="0" w:type="dxa"/>
          </w:tblCellMar>
        </w:tblPrEx>
        <w:trPr>
          <w:cantSplit/>
          <w:trHeight w:val="560"/>
        </w:trPr>
        <w:tc>
          <w:tcPr>
            <w:tcW w:w="700" w:type="dxa"/>
            <w:tcMar>
              <w:top w:w="0" w:type="dxa"/>
              <w:bottom w:w="0" w:type="dxa"/>
            </w:tcMar>
            <w:vAlign w:val="center"/>
          </w:tcPr>
          <w:p w14:paraId="758F8C17" w14:textId="77777777" w:rsidR="009A454C" w:rsidRDefault="009A454C">
            <w:pPr>
              <w:keepNext/>
              <w:keepLines/>
              <w:spacing w:after="0" w:line="240" w:lineRule="auto"/>
            </w:pPr>
          </w:p>
        </w:tc>
        <w:tc>
          <w:tcPr>
            <w:tcW w:w="3180" w:type="dxa"/>
            <w:tcMar>
              <w:top w:w="0" w:type="dxa"/>
              <w:bottom w:w="0" w:type="dxa"/>
            </w:tcMar>
            <w:vAlign w:val="center"/>
          </w:tcPr>
          <w:p w14:paraId="1EFE54EE" w14:textId="77777777" w:rsidR="009A454C"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E0CEAA1" w14:textId="77777777" w:rsidR="009A454C" w:rsidRDefault="00000000">
            <w:pPr>
              <w:keepNext/>
              <w:keepLines/>
              <w:spacing w:after="0" w:line="240" w:lineRule="auto"/>
            </w:pPr>
            <w:r>
              <w:rPr>
                <w:b/>
                <w:sz w:val="18"/>
              </w:rPr>
              <w:t>Y001</w:t>
            </w:r>
          </w:p>
        </w:tc>
        <w:tc>
          <w:tcPr>
            <w:tcW w:w="1860" w:type="dxa"/>
            <w:tcMar>
              <w:top w:w="0" w:type="dxa"/>
              <w:bottom w:w="0" w:type="dxa"/>
            </w:tcMar>
            <w:vAlign w:val="center"/>
          </w:tcPr>
          <w:p w14:paraId="7091F6DB" w14:textId="77777777" w:rsidR="009A454C" w:rsidRDefault="00000000">
            <w:pPr>
              <w:keepNext/>
              <w:keepLines/>
              <w:spacing w:after="0" w:line="240" w:lineRule="auto"/>
              <w:jc w:val="right"/>
            </w:pPr>
            <w:r>
              <w:rPr>
                <w:b/>
                <w:sz w:val="18"/>
              </w:rPr>
              <w:t>115.495,52</w:t>
            </w:r>
          </w:p>
        </w:tc>
        <w:tc>
          <w:tcPr>
            <w:tcW w:w="1860" w:type="dxa"/>
            <w:tcMar>
              <w:top w:w="0" w:type="dxa"/>
              <w:bottom w:w="0" w:type="dxa"/>
            </w:tcMar>
            <w:vAlign w:val="center"/>
          </w:tcPr>
          <w:p w14:paraId="2AB81DA1" w14:textId="77777777" w:rsidR="009A454C" w:rsidRDefault="00000000">
            <w:pPr>
              <w:keepNext/>
              <w:keepLines/>
              <w:spacing w:after="0" w:line="240" w:lineRule="auto"/>
              <w:jc w:val="right"/>
            </w:pPr>
            <w:r>
              <w:rPr>
                <w:b/>
                <w:sz w:val="18"/>
              </w:rPr>
              <w:t>26.974,44</w:t>
            </w:r>
          </w:p>
        </w:tc>
        <w:tc>
          <w:tcPr>
            <w:tcW w:w="700" w:type="dxa"/>
            <w:tcMar>
              <w:top w:w="0" w:type="dxa"/>
              <w:bottom w:w="0" w:type="dxa"/>
            </w:tcMar>
            <w:vAlign w:val="center"/>
          </w:tcPr>
          <w:p w14:paraId="74557CE1" w14:textId="77777777" w:rsidR="009A454C" w:rsidRDefault="00000000">
            <w:pPr>
              <w:keepNext/>
              <w:keepLines/>
              <w:spacing w:after="0" w:line="240" w:lineRule="auto"/>
              <w:jc w:val="right"/>
            </w:pPr>
            <w:r>
              <w:rPr>
                <w:b/>
                <w:sz w:val="18"/>
              </w:rPr>
              <w:t>23,4</w:t>
            </w:r>
          </w:p>
        </w:tc>
      </w:tr>
      <w:tr w:rsidR="009A454C" w14:paraId="66EC59D7" w14:textId="77777777">
        <w:tblPrEx>
          <w:tblCellMar>
            <w:top w:w="0" w:type="dxa"/>
            <w:bottom w:w="0" w:type="dxa"/>
          </w:tblCellMar>
        </w:tblPrEx>
        <w:trPr>
          <w:cantSplit/>
          <w:trHeight w:val="560"/>
        </w:trPr>
        <w:tc>
          <w:tcPr>
            <w:tcW w:w="700" w:type="dxa"/>
            <w:tcMar>
              <w:top w:w="0" w:type="dxa"/>
              <w:bottom w:w="0" w:type="dxa"/>
            </w:tcMar>
            <w:vAlign w:val="center"/>
          </w:tcPr>
          <w:p w14:paraId="62F21B3A" w14:textId="77777777" w:rsidR="009A454C" w:rsidRDefault="00000000">
            <w:pPr>
              <w:keepNext/>
              <w:keepLines/>
              <w:spacing w:after="0" w:line="240" w:lineRule="auto"/>
            </w:pPr>
            <w:r>
              <w:rPr>
                <w:sz w:val="18"/>
              </w:rPr>
              <w:t>7</w:t>
            </w:r>
          </w:p>
        </w:tc>
        <w:tc>
          <w:tcPr>
            <w:tcW w:w="3180" w:type="dxa"/>
            <w:tcMar>
              <w:top w:w="0" w:type="dxa"/>
              <w:bottom w:w="0" w:type="dxa"/>
            </w:tcMar>
            <w:vAlign w:val="center"/>
          </w:tcPr>
          <w:p w14:paraId="7D0B7ACD" w14:textId="77777777" w:rsidR="009A454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C72F88B" w14:textId="77777777" w:rsidR="009A454C" w:rsidRDefault="00000000">
            <w:pPr>
              <w:keepNext/>
              <w:keepLines/>
              <w:spacing w:after="0" w:line="240" w:lineRule="auto"/>
            </w:pPr>
            <w:r>
              <w:rPr>
                <w:sz w:val="18"/>
              </w:rPr>
              <w:t>7</w:t>
            </w:r>
          </w:p>
        </w:tc>
        <w:tc>
          <w:tcPr>
            <w:tcW w:w="1860" w:type="dxa"/>
            <w:tcMar>
              <w:top w:w="0" w:type="dxa"/>
              <w:bottom w:w="0" w:type="dxa"/>
            </w:tcMar>
            <w:vAlign w:val="center"/>
          </w:tcPr>
          <w:p w14:paraId="21B5BFE5" w14:textId="77777777" w:rsidR="009A454C" w:rsidRDefault="00000000">
            <w:pPr>
              <w:keepNext/>
              <w:keepLines/>
              <w:spacing w:after="0" w:line="240" w:lineRule="auto"/>
              <w:jc w:val="right"/>
            </w:pPr>
            <w:r>
              <w:rPr>
                <w:sz w:val="18"/>
              </w:rPr>
              <w:t>0,00</w:t>
            </w:r>
          </w:p>
        </w:tc>
        <w:tc>
          <w:tcPr>
            <w:tcW w:w="1860" w:type="dxa"/>
            <w:tcMar>
              <w:top w:w="0" w:type="dxa"/>
              <w:bottom w:w="0" w:type="dxa"/>
            </w:tcMar>
            <w:vAlign w:val="center"/>
          </w:tcPr>
          <w:p w14:paraId="548F6E09" w14:textId="77777777" w:rsidR="009A454C" w:rsidRDefault="00000000">
            <w:pPr>
              <w:keepNext/>
              <w:keepLines/>
              <w:spacing w:after="0" w:line="240" w:lineRule="auto"/>
              <w:jc w:val="right"/>
            </w:pPr>
            <w:r>
              <w:rPr>
                <w:sz w:val="18"/>
              </w:rPr>
              <w:t>0,00</w:t>
            </w:r>
          </w:p>
        </w:tc>
        <w:tc>
          <w:tcPr>
            <w:tcW w:w="700" w:type="dxa"/>
            <w:tcMar>
              <w:top w:w="0" w:type="dxa"/>
              <w:bottom w:w="0" w:type="dxa"/>
            </w:tcMar>
            <w:vAlign w:val="center"/>
          </w:tcPr>
          <w:p w14:paraId="1D7D31CD" w14:textId="77777777" w:rsidR="009A454C" w:rsidRDefault="00000000">
            <w:pPr>
              <w:keepNext/>
              <w:keepLines/>
              <w:spacing w:after="0" w:line="240" w:lineRule="auto"/>
              <w:jc w:val="right"/>
            </w:pPr>
            <w:r>
              <w:rPr>
                <w:sz w:val="18"/>
              </w:rPr>
              <w:t>-</w:t>
            </w:r>
          </w:p>
        </w:tc>
      </w:tr>
      <w:tr w:rsidR="009A454C" w14:paraId="4D483F74" w14:textId="77777777">
        <w:tblPrEx>
          <w:tblCellMar>
            <w:top w:w="0" w:type="dxa"/>
            <w:bottom w:w="0" w:type="dxa"/>
          </w:tblCellMar>
        </w:tblPrEx>
        <w:trPr>
          <w:cantSplit/>
          <w:trHeight w:val="560"/>
        </w:trPr>
        <w:tc>
          <w:tcPr>
            <w:tcW w:w="700" w:type="dxa"/>
            <w:tcMar>
              <w:top w:w="0" w:type="dxa"/>
              <w:bottom w:w="0" w:type="dxa"/>
            </w:tcMar>
            <w:vAlign w:val="center"/>
          </w:tcPr>
          <w:p w14:paraId="143F7B2E" w14:textId="77777777" w:rsidR="009A454C" w:rsidRDefault="00000000">
            <w:pPr>
              <w:keepNext/>
              <w:keepLines/>
              <w:spacing w:after="0" w:line="240" w:lineRule="auto"/>
            </w:pPr>
            <w:r>
              <w:rPr>
                <w:sz w:val="18"/>
              </w:rPr>
              <w:t>4</w:t>
            </w:r>
          </w:p>
        </w:tc>
        <w:tc>
          <w:tcPr>
            <w:tcW w:w="3180" w:type="dxa"/>
            <w:tcMar>
              <w:top w:w="0" w:type="dxa"/>
              <w:bottom w:w="0" w:type="dxa"/>
            </w:tcMar>
            <w:vAlign w:val="center"/>
          </w:tcPr>
          <w:p w14:paraId="626540AB" w14:textId="77777777" w:rsidR="009A454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16EB95C" w14:textId="77777777" w:rsidR="009A454C" w:rsidRDefault="00000000">
            <w:pPr>
              <w:keepNext/>
              <w:keepLines/>
              <w:spacing w:after="0" w:line="240" w:lineRule="auto"/>
            </w:pPr>
            <w:r>
              <w:rPr>
                <w:sz w:val="18"/>
              </w:rPr>
              <w:t>4</w:t>
            </w:r>
          </w:p>
        </w:tc>
        <w:tc>
          <w:tcPr>
            <w:tcW w:w="1860" w:type="dxa"/>
            <w:tcMar>
              <w:top w:w="0" w:type="dxa"/>
              <w:bottom w:w="0" w:type="dxa"/>
            </w:tcMar>
            <w:vAlign w:val="center"/>
          </w:tcPr>
          <w:p w14:paraId="6FC9E512" w14:textId="77777777" w:rsidR="009A454C" w:rsidRDefault="00000000">
            <w:pPr>
              <w:keepNext/>
              <w:keepLines/>
              <w:spacing w:after="0" w:line="240" w:lineRule="auto"/>
              <w:jc w:val="right"/>
            </w:pPr>
            <w:r>
              <w:rPr>
                <w:sz w:val="18"/>
              </w:rPr>
              <w:t>863,65</w:t>
            </w:r>
          </w:p>
        </w:tc>
        <w:tc>
          <w:tcPr>
            <w:tcW w:w="1860" w:type="dxa"/>
            <w:tcMar>
              <w:top w:w="0" w:type="dxa"/>
              <w:bottom w:w="0" w:type="dxa"/>
            </w:tcMar>
            <w:vAlign w:val="center"/>
          </w:tcPr>
          <w:p w14:paraId="2F65DDE6" w14:textId="77777777" w:rsidR="009A454C" w:rsidRDefault="00000000">
            <w:pPr>
              <w:keepNext/>
              <w:keepLines/>
              <w:spacing w:after="0" w:line="240" w:lineRule="auto"/>
              <w:jc w:val="right"/>
            </w:pPr>
            <w:r>
              <w:rPr>
                <w:sz w:val="18"/>
              </w:rPr>
              <w:t>5.058,84</w:t>
            </w:r>
          </w:p>
        </w:tc>
        <w:tc>
          <w:tcPr>
            <w:tcW w:w="700" w:type="dxa"/>
            <w:tcMar>
              <w:top w:w="0" w:type="dxa"/>
              <w:bottom w:w="0" w:type="dxa"/>
            </w:tcMar>
            <w:vAlign w:val="center"/>
          </w:tcPr>
          <w:p w14:paraId="71FE8BDB" w14:textId="77777777" w:rsidR="009A454C" w:rsidRDefault="00000000">
            <w:pPr>
              <w:keepNext/>
              <w:keepLines/>
              <w:spacing w:after="0" w:line="240" w:lineRule="auto"/>
              <w:jc w:val="right"/>
            </w:pPr>
            <w:r>
              <w:rPr>
                <w:sz w:val="18"/>
              </w:rPr>
              <w:t>585,8</w:t>
            </w:r>
          </w:p>
        </w:tc>
      </w:tr>
      <w:tr w:rsidR="009A454C" w14:paraId="6672415E" w14:textId="77777777">
        <w:tblPrEx>
          <w:tblCellMar>
            <w:top w:w="0" w:type="dxa"/>
            <w:bottom w:w="0" w:type="dxa"/>
          </w:tblCellMar>
        </w:tblPrEx>
        <w:trPr>
          <w:cantSplit/>
          <w:trHeight w:val="560"/>
        </w:trPr>
        <w:tc>
          <w:tcPr>
            <w:tcW w:w="700" w:type="dxa"/>
            <w:tcMar>
              <w:top w:w="0" w:type="dxa"/>
              <w:bottom w:w="0" w:type="dxa"/>
            </w:tcMar>
            <w:vAlign w:val="center"/>
          </w:tcPr>
          <w:p w14:paraId="67B71862" w14:textId="77777777" w:rsidR="009A454C" w:rsidRDefault="009A454C">
            <w:pPr>
              <w:keepNext/>
              <w:keepLines/>
              <w:spacing w:after="0" w:line="240" w:lineRule="auto"/>
            </w:pPr>
          </w:p>
        </w:tc>
        <w:tc>
          <w:tcPr>
            <w:tcW w:w="3180" w:type="dxa"/>
            <w:tcMar>
              <w:top w:w="0" w:type="dxa"/>
              <w:bottom w:w="0" w:type="dxa"/>
            </w:tcMar>
            <w:vAlign w:val="center"/>
          </w:tcPr>
          <w:p w14:paraId="762F603C" w14:textId="77777777" w:rsidR="009A454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28BC893" w14:textId="77777777" w:rsidR="009A454C" w:rsidRDefault="00000000">
            <w:pPr>
              <w:keepNext/>
              <w:keepLines/>
              <w:spacing w:after="0" w:line="240" w:lineRule="auto"/>
            </w:pPr>
            <w:r>
              <w:rPr>
                <w:b/>
                <w:sz w:val="18"/>
              </w:rPr>
              <w:t>Y002</w:t>
            </w:r>
          </w:p>
        </w:tc>
        <w:tc>
          <w:tcPr>
            <w:tcW w:w="1860" w:type="dxa"/>
            <w:tcMar>
              <w:top w:w="0" w:type="dxa"/>
              <w:bottom w:w="0" w:type="dxa"/>
            </w:tcMar>
            <w:vAlign w:val="center"/>
          </w:tcPr>
          <w:p w14:paraId="179A5CBD" w14:textId="77777777" w:rsidR="009A454C" w:rsidRDefault="00000000">
            <w:pPr>
              <w:keepNext/>
              <w:keepLines/>
              <w:spacing w:after="0" w:line="240" w:lineRule="auto"/>
              <w:jc w:val="right"/>
            </w:pPr>
            <w:r>
              <w:rPr>
                <w:b/>
                <w:sz w:val="18"/>
              </w:rPr>
              <w:t>863,65</w:t>
            </w:r>
          </w:p>
        </w:tc>
        <w:tc>
          <w:tcPr>
            <w:tcW w:w="1860" w:type="dxa"/>
            <w:tcMar>
              <w:top w:w="0" w:type="dxa"/>
              <w:bottom w:w="0" w:type="dxa"/>
            </w:tcMar>
            <w:vAlign w:val="center"/>
          </w:tcPr>
          <w:p w14:paraId="17E46E05" w14:textId="77777777" w:rsidR="009A454C" w:rsidRDefault="00000000">
            <w:pPr>
              <w:keepNext/>
              <w:keepLines/>
              <w:spacing w:after="0" w:line="240" w:lineRule="auto"/>
              <w:jc w:val="right"/>
            </w:pPr>
            <w:r>
              <w:rPr>
                <w:b/>
                <w:sz w:val="18"/>
              </w:rPr>
              <w:t>5.058,84</w:t>
            </w:r>
          </w:p>
        </w:tc>
        <w:tc>
          <w:tcPr>
            <w:tcW w:w="700" w:type="dxa"/>
            <w:tcMar>
              <w:top w:w="0" w:type="dxa"/>
              <w:bottom w:w="0" w:type="dxa"/>
            </w:tcMar>
            <w:vAlign w:val="center"/>
          </w:tcPr>
          <w:p w14:paraId="315D6180" w14:textId="77777777" w:rsidR="009A454C" w:rsidRDefault="00000000">
            <w:pPr>
              <w:keepNext/>
              <w:keepLines/>
              <w:spacing w:after="0" w:line="240" w:lineRule="auto"/>
              <w:jc w:val="right"/>
            </w:pPr>
            <w:r>
              <w:rPr>
                <w:b/>
                <w:sz w:val="18"/>
              </w:rPr>
              <w:t>585,8</w:t>
            </w:r>
          </w:p>
        </w:tc>
      </w:tr>
      <w:tr w:rsidR="009A454C" w14:paraId="14F6E99F" w14:textId="77777777">
        <w:tblPrEx>
          <w:tblCellMar>
            <w:top w:w="0" w:type="dxa"/>
            <w:bottom w:w="0" w:type="dxa"/>
          </w:tblCellMar>
        </w:tblPrEx>
        <w:trPr>
          <w:cantSplit/>
          <w:trHeight w:val="560"/>
        </w:trPr>
        <w:tc>
          <w:tcPr>
            <w:tcW w:w="700" w:type="dxa"/>
            <w:tcMar>
              <w:top w:w="0" w:type="dxa"/>
              <w:bottom w:w="0" w:type="dxa"/>
            </w:tcMar>
            <w:vAlign w:val="center"/>
          </w:tcPr>
          <w:p w14:paraId="48429322" w14:textId="77777777" w:rsidR="009A454C" w:rsidRDefault="00000000">
            <w:pPr>
              <w:keepNext/>
              <w:keepLines/>
              <w:spacing w:after="0" w:line="240" w:lineRule="auto"/>
            </w:pPr>
            <w:r>
              <w:rPr>
                <w:sz w:val="18"/>
              </w:rPr>
              <w:t>8</w:t>
            </w:r>
          </w:p>
        </w:tc>
        <w:tc>
          <w:tcPr>
            <w:tcW w:w="3180" w:type="dxa"/>
            <w:tcMar>
              <w:top w:w="0" w:type="dxa"/>
              <w:bottom w:w="0" w:type="dxa"/>
            </w:tcMar>
            <w:vAlign w:val="center"/>
          </w:tcPr>
          <w:p w14:paraId="3D134CFA" w14:textId="77777777" w:rsidR="009A454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87CF38E" w14:textId="77777777" w:rsidR="009A454C" w:rsidRDefault="00000000">
            <w:pPr>
              <w:keepNext/>
              <w:keepLines/>
              <w:spacing w:after="0" w:line="240" w:lineRule="auto"/>
            </w:pPr>
            <w:r>
              <w:rPr>
                <w:sz w:val="18"/>
              </w:rPr>
              <w:t>8</w:t>
            </w:r>
          </w:p>
        </w:tc>
        <w:tc>
          <w:tcPr>
            <w:tcW w:w="1860" w:type="dxa"/>
            <w:tcMar>
              <w:top w:w="0" w:type="dxa"/>
              <w:bottom w:w="0" w:type="dxa"/>
            </w:tcMar>
            <w:vAlign w:val="center"/>
          </w:tcPr>
          <w:p w14:paraId="5C98552B" w14:textId="77777777" w:rsidR="009A454C" w:rsidRDefault="00000000">
            <w:pPr>
              <w:keepNext/>
              <w:keepLines/>
              <w:spacing w:after="0" w:line="240" w:lineRule="auto"/>
              <w:jc w:val="right"/>
            </w:pPr>
            <w:r>
              <w:rPr>
                <w:sz w:val="18"/>
              </w:rPr>
              <w:t>0,00</w:t>
            </w:r>
          </w:p>
        </w:tc>
        <w:tc>
          <w:tcPr>
            <w:tcW w:w="1860" w:type="dxa"/>
            <w:tcMar>
              <w:top w:w="0" w:type="dxa"/>
              <w:bottom w:w="0" w:type="dxa"/>
            </w:tcMar>
            <w:vAlign w:val="center"/>
          </w:tcPr>
          <w:p w14:paraId="5B083081" w14:textId="77777777" w:rsidR="009A454C" w:rsidRDefault="00000000">
            <w:pPr>
              <w:keepNext/>
              <w:keepLines/>
              <w:spacing w:after="0" w:line="240" w:lineRule="auto"/>
              <w:jc w:val="right"/>
            </w:pPr>
            <w:r>
              <w:rPr>
                <w:sz w:val="18"/>
              </w:rPr>
              <w:t>0,00</w:t>
            </w:r>
          </w:p>
        </w:tc>
        <w:tc>
          <w:tcPr>
            <w:tcW w:w="700" w:type="dxa"/>
            <w:tcMar>
              <w:top w:w="0" w:type="dxa"/>
              <w:bottom w:w="0" w:type="dxa"/>
            </w:tcMar>
            <w:vAlign w:val="center"/>
          </w:tcPr>
          <w:p w14:paraId="6439B58E" w14:textId="77777777" w:rsidR="009A454C" w:rsidRDefault="00000000">
            <w:pPr>
              <w:keepNext/>
              <w:keepLines/>
              <w:spacing w:after="0" w:line="240" w:lineRule="auto"/>
              <w:jc w:val="right"/>
            </w:pPr>
            <w:r>
              <w:rPr>
                <w:sz w:val="18"/>
              </w:rPr>
              <w:t>-</w:t>
            </w:r>
          </w:p>
        </w:tc>
      </w:tr>
      <w:tr w:rsidR="009A454C" w14:paraId="13713BF8" w14:textId="77777777">
        <w:tblPrEx>
          <w:tblCellMar>
            <w:top w:w="0" w:type="dxa"/>
            <w:bottom w:w="0" w:type="dxa"/>
          </w:tblCellMar>
        </w:tblPrEx>
        <w:trPr>
          <w:cantSplit/>
          <w:trHeight w:val="560"/>
        </w:trPr>
        <w:tc>
          <w:tcPr>
            <w:tcW w:w="700" w:type="dxa"/>
            <w:tcMar>
              <w:top w:w="0" w:type="dxa"/>
              <w:bottom w:w="0" w:type="dxa"/>
            </w:tcMar>
            <w:vAlign w:val="center"/>
          </w:tcPr>
          <w:p w14:paraId="5F6D34DA" w14:textId="77777777" w:rsidR="009A454C" w:rsidRDefault="00000000">
            <w:pPr>
              <w:keepNext/>
              <w:keepLines/>
              <w:spacing w:after="0" w:line="240" w:lineRule="auto"/>
            </w:pPr>
            <w:r>
              <w:rPr>
                <w:sz w:val="18"/>
              </w:rPr>
              <w:t>5</w:t>
            </w:r>
          </w:p>
        </w:tc>
        <w:tc>
          <w:tcPr>
            <w:tcW w:w="3180" w:type="dxa"/>
            <w:tcMar>
              <w:top w:w="0" w:type="dxa"/>
              <w:bottom w:w="0" w:type="dxa"/>
            </w:tcMar>
            <w:vAlign w:val="center"/>
          </w:tcPr>
          <w:p w14:paraId="7B9182F5" w14:textId="77777777" w:rsidR="009A454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859E333" w14:textId="77777777" w:rsidR="009A454C" w:rsidRDefault="00000000">
            <w:pPr>
              <w:keepNext/>
              <w:keepLines/>
              <w:spacing w:after="0" w:line="240" w:lineRule="auto"/>
            </w:pPr>
            <w:r>
              <w:rPr>
                <w:sz w:val="18"/>
              </w:rPr>
              <w:t>5</w:t>
            </w:r>
          </w:p>
        </w:tc>
        <w:tc>
          <w:tcPr>
            <w:tcW w:w="1860" w:type="dxa"/>
            <w:tcMar>
              <w:top w:w="0" w:type="dxa"/>
              <w:bottom w:w="0" w:type="dxa"/>
            </w:tcMar>
            <w:vAlign w:val="center"/>
          </w:tcPr>
          <w:p w14:paraId="4B6DC81C" w14:textId="77777777" w:rsidR="009A454C" w:rsidRDefault="00000000">
            <w:pPr>
              <w:keepNext/>
              <w:keepLines/>
              <w:spacing w:after="0" w:line="240" w:lineRule="auto"/>
              <w:jc w:val="right"/>
            </w:pPr>
            <w:r>
              <w:rPr>
                <w:sz w:val="18"/>
              </w:rPr>
              <w:t>0,00</w:t>
            </w:r>
          </w:p>
        </w:tc>
        <w:tc>
          <w:tcPr>
            <w:tcW w:w="1860" w:type="dxa"/>
            <w:tcMar>
              <w:top w:w="0" w:type="dxa"/>
              <w:bottom w:w="0" w:type="dxa"/>
            </w:tcMar>
            <w:vAlign w:val="center"/>
          </w:tcPr>
          <w:p w14:paraId="4DA2B6EF" w14:textId="77777777" w:rsidR="009A454C" w:rsidRDefault="00000000">
            <w:pPr>
              <w:keepNext/>
              <w:keepLines/>
              <w:spacing w:after="0" w:line="240" w:lineRule="auto"/>
              <w:jc w:val="right"/>
            </w:pPr>
            <w:r>
              <w:rPr>
                <w:sz w:val="18"/>
              </w:rPr>
              <w:t>0,00</w:t>
            </w:r>
          </w:p>
        </w:tc>
        <w:tc>
          <w:tcPr>
            <w:tcW w:w="700" w:type="dxa"/>
            <w:tcMar>
              <w:top w:w="0" w:type="dxa"/>
              <w:bottom w:w="0" w:type="dxa"/>
            </w:tcMar>
            <w:vAlign w:val="center"/>
          </w:tcPr>
          <w:p w14:paraId="7650C3B7" w14:textId="77777777" w:rsidR="009A454C" w:rsidRDefault="00000000">
            <w:pPr>
              <w:keepNext/>
              <w:keepLines/>
              <w:spacing w:after="0" w:line="240" w:lineRule="auto"/>
              <w:jc w:val="right"/>
            </w:pPr>
            <w:r>
              <w:rPr>
                <w:sz w:val="18"/>
              </w:rPr>
              <w:t>-</w:t>
            </w:r>
          </w:p>
        </w:tc>
      </w:tr>
      <w:tr w:rsidR="009A454C" w14:paraId="1E90D76C" w14:textId="77777777">
        <w:tblPrEx>
          <w:tblCellMar>
            <w:top w:w="0" w:type="dxa"/>
            <w:bottom w:w="0" w:type="dxa"/>
          </w:tblCellMar>
        </w:tblPrEx>
        <w:trPr>
          <w:cantSplit/>
          <w:trHeight w:val="560"/>
        </w:trPr>
        <w:tc>
          <w:tcPr>
            <w:tcW w:w="700" w:type="dxa"/>
            <w:tcMar>
              <w:top w:w="0" w:type="dxa"/>
              <w:bottom w:w="0" w:type="dxa"/>
            </w:tcMar>
            <w:vAlign w:val="center"/>
          </w:tcPr>
          <w:p w14:paraId="7A164F90" w14:textId="77777777" w:rsidR="009A454C" w:rsidRDefault="009A454C">
            <w:pPr>
              <w:keepNext/>
              <w:keepLines/>
              <w:spacing w:after="0" w:line="240" w:lineRule="auto"/>
            </w:pPr>
          </w:p>
        </w:tc>
        <w:tc>
          <w:tcPr>
            <w:tcW w:w="3180" w:type="dxa"/>
            <w:tcMar>
              <w:top w:w="0" w:type="dxa"/>
              <w:bottom w:w="0" w:type="dxa"/>
            </w:tcMar>
            <w:vAlign w:val="center"/>
          </w:tcPr>
          <w:p w14:paraId="44F7498A" w14:textId="77777777" w:rsidR="009A454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DCD0148" w14:textId="77777777" w:rsidR="009A454C" w:rsidRDefault="00000000">
            <w:pPr>
              <w:keepNext/>
              <w:keepLines/>
              <w:spacing w:after="0" w:line="240" w:lineRule="auto"/>
            </w:pPr>
            <w:r>
              <w:rPr>
                <w:b/>
                <w:sz w:val="18"/>
              </w:rPr>
              <w:t>X003, Y003</w:t>
            </w:r>
          </w:p>
        </w:tc>
        <w:tc>
          <w:tcPr>
            <w:tcW w:w="1860" w:type="dxa"/>
            <w:tcMar>
              <w:top w:w="0" w:type="dxa"/>
              <w:bottom w:w="0" w:type="dxa"/>
            </w:tcMar>
            <w:vAlign w:val="center"/>
          </w:tcPr>
          <w:p w14:paraId="1CB7124E" w14:textId="77777777" w:rsidR="009A454C" w:rsidRDefault="00000000">
            <w:pPr>
              <w:keepNext/>
              <w:keepLines/>
              <w:spacing w:after="0" w:line="240" w:lineRule="auto"/>
              <w:jc w:val="right"/>
            </w:pPr>
            <w:r>
              <w:rPr>
                <w:b/>
                <w:sz w:val="18"/>
              </w:rPr>
              <w:t>0,00</w:t>
            </w:r>
          </w:p>
        </w:tc>
        <w:tc>
          <w:tcPr>
            <w:tcW w:w="1860" w:type="dxa"/>
            <w:tcMar>
              <w:top w:w="0" w:type="dxa"/>
              <w:bottom w:w="0" w:type="dxa"/>
            </w:tcMar>
            <w:vAlign w:val="center"/>
          </w:tcPr>
          <w:p w14:paraId="36460A6F" w14:textId="77777777" w:rsidR="009A454C" w:rsidRDefault="00000000">
            <w:pPr>
              <w:keepNext/>
              <w:keepLines/>
              <w:spacing w:after="0" w:line="240" w:lineRule="auto"/>
              <w:jc w:val="right"/>
            </w:pPr>
            <w:r>
              <w:rPr>
                <w:b/>
                <w:sz w:val="18"/>
              </w:rPr>
              <w:t>0,00</w:t>
            </w:r>
          </w:p>
        </w:tc>
        <w:tc>
          <w:tcPr>
            <w:tcW w:w="700" w:type="dxa"/>
            <w:tcMar>
              <w:top w:w="0" w:type="dxa"/>
              <w:bottom w:w="0" w:type="dxa"/>
            </w:tcMar>
            <w:vAlign w:val="center"/>
          </w:tcPr>
          <w:p w14:paraId="380B24D5" w14:textId="77777777" w:rsidR="009A454C" w:rsidRDefault="00000000">
            <w:pPr>
              <w:keepNext/>
              <w:keepLines/>
              <w:spacing w:after="0" w:line="240" w:lineRule="auto"/>
              <w:jc w:val="right"/>
            </w:pPr>
            <w:r>
              <w:rPr>
                <w:b/>
                <w:sz w:val="18"/>
              </w:rPr>
              <w:t>-</w:t>
            </w:r>
          </w:p>
        </w:tc>
      </w:tr>
      <w:tr w:rsidR="009A454C" w14:paraId="07A87ABD" w14:textId="77777777">
        <w:tblPrEx>
          <w:tblCellMar>
            <w:top w:w="0" w:type="dxa"/>
            <w:bottom w:w="0" w:type="dxa"/>
          </w:tblCellMar>
        </w:tblPrEx>
        <w:trPr>
          <w:cantSplit/>
          <w:trHeight w:val="560"/>
        </w:trPr>
        <w:tc>
          <w:tcPr>
            <w:tcW w:w="700" w:type="dxa"/>
            <w:tcMar>
              <w:top w:w="0" w:type="dxa"/>
              <w:bottom w:w="0" w:type="dxa"/>
            </w:tcMar>
            <w:vAlign w:val="center"/>
          </w:tcPr>
          <w:p w14:paraId="35A50E1F" w14:textId="77777777" w:rsidR="009A454C" w:rsidRDefault="009A454C">
            <w:pPr>
              <w:keepNext/>
              <w:keepLines/>
              <w:spacing w:after="0" w:line="240" w:lineRule="auto"/>
            </w:pPr>
          </w:p>
        </w:tc>
        <w:tc>
          <w:tcPr>
            <w:tcW w:w="3180" w:type="dxa"/>
            <w:tcMar>
              <w:top w:w="0" w:type="dxa"/>
              <w:bottom w:w="0" w:type="dxa"/>
            </w:tcMar>
            <w:vAlign w:val="center"/>
          </w:tcPr>
          <w:p w14:paraId="181B8478" w14:textId="77777777" w:rsidR="009A454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2B5B4D3" w14:textId="77777777" w:rsidR="009A454C" w:rsidRDefault="00000000">
            <w:pPr>
              <w:keepNext/>
              <w:keepLines/>
              <w:spacing w:after="0" w:line="240" w:lineRule="auto"/>
            </w:pPr>
            <w:r>
              <w:rPr>
                <w:b/>
                <w:sz w:val="18"/>
              </w:rPr>
              <w:t>Y005</w:t>
            </w:r>
          </w:p>
        </w:tc>
        <w:tc>
          <w:tcPr>
            <w:tcW w:w="1860" w:type="dxa"/>
            <w:tcMar>
              <w:top w:w="0" w:type="dxa"/>
              <w:bottom w:w="0" w:type="dxa"/>
            </w:tcMar>
            <w:vAlign w:val="center"/>
          </w:tcPr>
          <w:p w14:paraId="3FE6FC90" w14:textId="77777777" w:rsidR="009A454C" w:rsidRDefault="00000000">
            <w:pPr>
              <w:keepNext/>
              <w:keepLines/>
              <w:spacing w:after="0" w:line="240" w:lineRule="auto"/>
              <w:jc w:val="right"/>
            </w:pPr>
            <w:r>
              <w:rPr>
                <w:b/>
                <w:sz w:val="18"/>
              </w:rPr>
              <w:t>116.359,17</w:t>
            </w:r>
          </w:p>
        </w:tc>
        <w:tc>
          <w:tcPr>
            <w:tcW w:w="1860" w:type="dxa"/>
            <w:tcMar>
              <w:top w:w="0" w:type="dxa"/>
              <w:bottom w:w="0" w:type="dxa"/>
            </w:tcMar>
            <w:vAlign w:val="center"/>
          </w:tcPr>
          <w:p w14:paraId="1B73E82C" w14:textId="77777777" w:rsidR="009A454C" w:rsidRDefault="00000000">
            <w:pPr>
              <w:keepNext/>
              <w:keepLines/>
              <w:spacing w:after="0" w:line="240" w:lineRule="auto"/>
              <w:jc w:val="right"/>
            </w:pPr>
            <w:r>
              <w:rPr>
                <w:b/>
                <w:sz w:val="18"/>
              </w:rPr>
              <w:t>32.033,28</w:t>
            </w:r>
          </w:p>
        </w:tc>
        <w:tc>
          <w:tcPr>
            <w:tcW w:w="700" w:type="dxa"/>
            <w:tcMar>
              <w:top w:w="0" w:type="dxa"/>
              <w:bottom w:w="0" w:type="dxa"/>
            </w:tcMar>
            <w:vAlign w:val="center"/>
          </w:tcPr>
          <w:p w14:paraId="489E9AE1" w14:textId="77777777" w:rsidR="009A454C" w:rsidRDefault="00000000">
            <w:pPr>
              <w:keepNext/>
              <w:keepLines/>
              <w:spacing w:after="0" w:line="240" w:lineRule="auto"/>
              <w:jc w:val="right"/>
            </w:pPr>
            <w:r>
              <w:rPr>
                <w:b/>
                <w:sz w:val="18"/>
              </w:rPr>
              <w:t>27,5</w:t>
            </w:r>
          </w:p>
        </w:tc>
      </w:tr>
    </w:tbl>
    <w:p w14:paraId="657965B2" w14:textId="77777777" w:rsidR="009A454C" w:rsidRDefault="009A454C">
      <w:pPr>
        <w:spacing w:after="0"/>
      </w:pPr>
    </w:p>
    <w:p w14:paraId="7D3F50FA" w14:textId="77777777" w:rsidR="009A454C" w:rsidRDefault="00000000">
      <w:r>
        <w:t>Dom za starije osobe „Volosko“ Opatija, kao proračunski korisnik Primorsko – goranske županije, od 01. siječnja 2026. godine dužan je poslovati preko jedinstvenog računa proračuna. Poslovanjem preko jedinstvenog računa proračuna svi prihodi Doma „Volosko“ uplaćuju se na jedinstveni račun proračuna i sva plaćanja vrše se s jedinstvenog računa proračuna te je s obzirom na navedeno 25. ožujka zatvoren poslovni račun Doma „Volosko“.</w:t>
      </w:r>
    </w:p>
    <w:p w14:paraId="01127592" w14:textId="77777777" w:rsidR="009A454C" w:rsidRDefault="00000000">
      <w:r>
        <w:lastRenderedPageBreak/>
        <w:t>U razdoblju od 01. siječnja do 31. ožujka 2026. godine prihodi poslovanja ostvareni su u iznosu od 460.220,94 eura.</w:t>
      </w:r>
    </w:p>
    <w:p w14:paraId="3C350123" w14:textId="77777777" w:rsidR="009A454C" w:rsidRDefault="00000000">
      <w:r>
        <w:t xml:space="preserve">Najznačajnije povećanje prihoda poslovanja odnosi se na ostale nespomenute prihode zbog naplate potraživanja za ručkove i </w:t>
      </w:r>
      <w:proofErr w:type="spellStart"/>
      <w:r>
        <w:t>opskrbnine</w:t>
      </w:r>
      <w:proofErr w:type="spellEnd"/>
      <w:r>
        <w:t xml:space="preserve"> (MROSP 11,12/25). Najznačajnije smanjenje prihoda poslovanja bilježi se na prihodima iz nadležnog proračuna za financiranje rashoda poslovanja.</w:t>
      </w:r>
    </w:p>
    <w:p w14:paraId="58795DCD" w14:textId="77777777" w:rsidR="009A454C" w:rsidRDefault="00000000">
      <w:r>
        <w:t>Rashodi poslovanja u razdoblju od 01. siječnja do 31. ožujka 2026. godine ostvareni su u iznosu od 487.195,38 eura. </w:t>
      </w:r>
    </w:p>
    <w:p w14:paraId="43106EB8" w14:textId="77777777" w:rsidR="009A454C" w:rsidRDefault="00000000">
      <w:r>
        <w:t xml:space="preserve">Najznačajnije povećanje rashoda evidentirano je na ostalim rashodima za zaposlene zbog obračunate </w:t>
      </w:r>
      <w:proofErr w:type="spellStart"/>
      <w:r>
        <w:t>uskrsnice</w:t>
      </w:r>
      <w:proofErr w:type="spellEnd"/>
      <w:r>
        <w:t xml:space="preserve"> u prvom tromjesečju 2026. godine te zbog većeg broja isplaćenih ostalih materijalnih prava radnika (naknade za bolest, jubilarne nagrade). Najznačajnije smanjenje rashoda poslovanja bilježi se na rashodima za plaće iz razloga što je u 2025. godini, u promatranom periodu, evidentirano četiri rashoda za zaposlene dok je u 2026. godini, u istom periodu, evidentirano tri rashoda za zaposlene. </w:t>
      </w:r>
    </w:p>
    <w:p w14:paraId="68745C3D" w14:textId="77777777" w:rsidR="009A454C" w:rsidRDefault="00000000">
      <w:r>
        <w:t>U navedenom razdoblju nema ostvarenih prihoda od prodaje nefinancijske imovine, dok su rashodi za nabavu nefinancijske imovine ostvareni u iznosu od 5.058,84 eura. Navedeni rashodi  odnose se na nabavu komunikacijske opreme (televizora) te uređaja, strojeva i opreme za ostale namjene (perilice posuđa).</w:t>
      </w:r>
    </w:p>
    <w:p w14:paraId="5303705E" w14:textId="77777777" w:rsidR="009A454C" w:rsidRDefault="00000000">
      <w:r>
        <w:t> </w:t>
      </w:r>
    </w:p>
    <w:p w14:paraId="45FAA8AE" w14:textId="77777777" w:rsidR="009A454C" w:rsidRDefault="00000000">
      <w:r>
        <w:t>U promatranom razdoblju nije bilo ostvarenih primitaka i izdataka od financijske imovine i zaduživanja.</w:t>
      </w:r>
    </w:p>
    <w:p w14:paraId="3C25EF95" w14:textId="77777777" w:rsidR="009A454C" w:rsidRDefault="00000000">
      <w:r>
        <w:t> </w:t>
      </w:r>
    </w:p>
    <w:p w14:paraId="1664EED7" w14:textId="77777777" w:rsidR="009A454C" w:rsidRDefault="00000000">
      <w:r>
        <w:t>U razdoblju od 01. siječnja do 31. ožujka 2026. godine ostvaren je manjak prihoda poslovanja u iznosu od 26.974,44 eura te manjak prihoda od nefinancijske imovine u iznosu od 5.058,84 eura, slijedom čega je na kraju izvještajnog razdoblja ostvaren ukupan manjak prihoda u iznosu od 32.033,28 eura.</w:t>
      </w:r>
    </w:p>
    <w:p w14:paraId="392B5B10" w14:textId="77777777" w:rsidR="009A454C" w:rsidRDefault="00000000">
      <w:r>
        <w:br/>
      </w:r>
    </w:p>
    <w:p w14:paraId="4F514E0D" w14:textId="77777777" w:rsidR="009A454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33849A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2C2F5F"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2249DF"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78BB50"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6DAF5"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FABC41"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14B586" w14:textId="77777777" w:rsidR="009A454C" w:rsidRDefault="00000000">
            <w:pPr>
              <w:keepNext/>
              <w:keepLines/>
              <w:spacing w:after="0" w:line="240" w:lineRule="auto"/>
              <w:jc w:val="center"/>
            </w:pPr>
            <w:r>
              <w:rPr>
                <w:b/>
                <w:sz w:val="18"/>
              </w:rPr>
              <w:t>Indeks (%)</w:t>
            </w:r>
          </w:p>
        </w:tc>
      </w:tr>
      <w:tr w:rsidR="009A454C" w14:paraId="2B5EBA61" w14:textId="77777777">
        <w:tblPrEx>
          <w:tblCellMar>
            <w:top w:w="0" w:type="dxa"/>
            <w:bottom w:w="0" w:type="dxa"/>
          </w:tblCellMar>
        </w:tblPrEx>
        <w:trPr>
          <w:cantSplit/>
          <w:trHeight w:val="560"/>
        </w:trPr>
        <w:tc>
          <w:tcPr>
            <w:tcW w:w="700" w:type="dxa"/>
            <w:tcMar>
              <w:top w:w="0" w:type="dxa"/>
              <w:bottom w:w="0" w:type="dxa"/>
            </w:tcMar>
            <w:vAlign w:val="center"/>
          </w:tcPr>
          <w:p w14:paraId="011837FB" w14:textId="77777777" w:rsidR="009A454C" w:rsidRDefault="00000000">
            <w:pPr>
              <w:keepNext/>
              <w:keepLines/>
              <w:spacing w:after="0" w:line="240" w:lineRule="auto"/>
            </w:pPr>
            <w:r>
              <w:rPr>
                <w:sz w:val="18"/>
              </w:rPr>
              <w:t>6</w:t>
            </w:r>
          </w:p>
        </w:tc>
        <w:tc>
          <w:tcPr>
            <w:tcW w:w="3180" w:type="dxa"/>
            <w:tcMar>
              <w:top w:w="0" w:type="dxa"/>
              <w:bottom w:w="0" w:type="dxa"/>
            </w:tcMar>
            <w:vAlign w:val="center"/>
          </w:tcPr>
          <w:p w14:paraId="19284093" w14:textId="77777777" w:rsidR="009A454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841F735" w14:textId="77777777" w:rsidR="009A454C" w:rsidRDefault="00000000">
            <w:pPr>
              <w:keepNext/>
              <w:keepLines/>
              <w:spacing w:after="0" w:line="240" w:lineRule="auto"/>
            </w:pPr>
            <w:r>
              <w:rPr>
                <w:sz w:val="18"/>
              </w:rPr>
              <w:t>6</w:t>
            </w:r>
          </w:p>
        </w:tc>
        <w:tc>
          <w:tcPr>
            <w:tcW w:w="1860" w:type="dxa"/>
            <w:tcMar>
              <w:top w:w="0" w:type="dxa"/>
              <w:bottom w:w="0" w:type="dxa"/>
            </w:tcMar>
            <w:vAlign w:val="center"/>
          </w:tcPr>
          <w:p w14:paraId="55B58D3F" w14:textId="77777777" w:rsidR="009A454C" w:rsidRDefault="00000000">
            <w:pPr>
              <w:keepNext/>
              <w:keepLines/>
              <w:spacing w:after="0" w:line="240" w:lineRule="auto"/>
              <w:jc w:val="right"/>
            </w:pPr>
            <w:r>
              <w:rPr>
                <w:sz w:val="18"/>
              </w:rPr>
              <w:t>475.945,50</w:t>
            </w:r>
          </w:p>
        </w:tc>
        <w:tc>
          <w:tcPr>
            <w:tcW w:w="1860" w:type="dxa"/>
            <w:tcMar>
              <w:top w:w="0" w:type="dxa"/>
              <w:bottom w:w="0" w:type="dxa"/>
            </w:tcMar>
            <w:vAlign w:val="center"/>
          </w:tcPr>
          <w:p w14:paraId="30F89C14" w14:textId="77777777" w:rsidR="009A454C" w:rsidRDefault="00000000">
            <w:pPr>
              <w:keepNext/>
              <w:keepLines/>
              <w:spacing w:after="0" w:line="240" w:lineRule="auto"/>
              <w:jc w:val="right"/>
            </w:pPr>
            <w:r>
              <w:rPr>
                <w:sz w:val="18"/>
              </w:rPr>
              <w:t>460.220,94</w:t>
            </w:r>
          </w:p>
        </w:tc>
        <w:tc>
          <w:tcPr>
            <w:tcW w:w="700" w:type="dxa"/>
            <w:tcMar>
              <w:top w:w="0" w:type="dxa"/>
              <w:bottom w:w="0" w:type="dxa"/>
            </w:tcMar>
            <w:vAlign w:val="center"/>
          </w:tcPr>
          <w:p w14:paraId="4C887E36" w14:textId="77777777" w:rsidR="009A454C" w:rsidRDefault="00000000">
            <w:pPr>
              <w:keepNext/>
              <w:keepLines/>
              <w:spacing w:after="0" w:line="240" w:lineRule="auto"/>
              <w:jc w:val="right"/>
            </w:pPr>
            <w:r>
              <w:rPr>
                <w:sz w:val="18"/>
              </w:rPr>
              <w:t>96,7</w:t>
            </w:r>
          </w:p>
        </w:tc>
      </w:tr>
    </w:tbl>
    <w:p w14:paraId="6C20F021" w14:textId="77777777" w:rsidR="009A454C" w:rsidRDefault="009A454C">
      <w:pPr>
        <w:spacing w:after="0"/>
      </w:pPr>
    </w:p>
    <w:p w14:paraId="46A91A79" w14:textId="77777777" w:rsidR="009A454C" w:rsidRDefault="00000000">
      <w:r>
        <w:t>Razred 6 iskazuje prihode poslovanja koji su ostvareni u iznosu od 460.220,94 eura što je za 3,3 % manje u odnosu na isti period prethodne 2025. godine. </w:t>
      </w:r>
    </w:p>
    <w:p w14:paraId="606970CB" w14:textId="77777777" w:rsidR="009A454C" w:rsidRDefault="009A454C"/>
    <w:p w14:paraId="4818F79C" w14:textId="77777777" w:rsidR="009A454C"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6DB060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DFE9AD"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1448B2"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35AD02"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3AEA9F"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47C37F"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23A652" w14:textId="77777777" w:rsidR="009A454C" w:rsidRDefault="00000000">
            <w:pPr>
              <w:keepNext/>
              <w:keepLines/>
              <w:spacing w:after="0" w:line="240" w:lineRule="auto"/>
              <w:jc w:val="center"/>
            </w:pPr>
            <w:r>
              <w:rPr>
                <w:b/>
                <w:sz w:val="18"/>
              </w:rPr>
              <w:t>Indeks (%)</w:t>
            </w:r>
          </w:p>
        </w:tc>
      </w:tr>
      <w:tr w:rsidR="009A454C" w14:paraId="222385FE" w14:textId="77777777">
        <w:tblPrEx>
          <w:tblCellMar>
            <w:top w:w="0" w:type="dxa"/>
            <w:bottom w:w="0" w:type="dxa"/>
          </w:tblCellMar>
        </w:tblPrEx>
        <w:trPr>
          <w:cantSplit/>
          <w:trHeight w:val="560"/>
        </w:trPr>
        <w:tc>
          <w:tcPr>
            <w:tcW w:w="700" w:type="dxa"/>
            <w:tcMar>
              <w:top w:w="0" w:type="dxa"/>
              <w:bottom w:w="0" w:type="dxa"/>
            </w:tcMar>
            <w:vAlign w:val="center"/>
          </w:tcPr>
          <w:p w14:paraId="227A5C64" w14:textId="77777777" w:rsidR="009A454C" w:rsidRDefault="00000000">
            <w:pPr>
              <w:keepNext/>
              <w:keepLines/>
              <w:spacing w:after="0" w:line="240" w:lineRule="auto"/>
            </w:pPr>
            <w:r>
              <w:rPr>
                <w:sz w:val="18"/>
              </w:rPr>
              <w:t>63</w:t>
            </w:r>
          </w:p>
        </w:tc>
        <w:tc>
          <w:tcPr>
            <w:tcW w:w="3180" w:type="dxa"/>
            <w:tcMar>
              <w:top w:w="0" w:type="dxa"/>
              <w:bottom w:w="0" w:type="dxa"/>
            </w:tcMar>
            <w:vAlign w:val="center"/>
          </w:tcPr>
          <w:p w14:paraId="4B3725FE" w14:textId="77777777" w:rsidR="009A454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DB96DEC" w14:textId="77777777" w:rsidR="009A454C" w:rsidRDefault="00000000">
            <w:pPr>
              <w:keepNext/>
              <w:keepLines/>
              <w:spacing w:after="0" w:line="240" w:lineRule="auto"/>
            </w:pPr>
            <w:r>
              <w:rPr>
                <w:sz w:val="18"/>
              </w:rPr>
              <w:t>63</w:t>
            </w:r>
          </w:p>
        </w:tc>
        <w:tc>
          <w:tcPr>
            <w:tcW w:w="1860" w:type="dxa"/>
            <w:tcMar>
              <w:top w:w="0" w:type="dxa"/>
              <w:bottom w:w="0" w:type="dxa"/>
            </w:tcMar>
            <w:vAlign w:val="center"/>
          </w:tcPr>
          <w:p w14:paraId="6DBAB8BE" w14:textId="77777777" w:rsidR="009A454C" w:rsidRDefault="00000000">
            <w:pPr>
              <w:keepNext/>
              <w:keepLines/>
              <w:spacing w:after="0" w:line="240" w:lineRule="auto"/>
              <w:jc w:val="right"/>
            </w:pPr>
            <w:r>
              <w:rPr>
                <w:sz w:val="18"/>
              </w:rPr>
              <w:t>1.620,00</w:t>
            </w:r>
          </w:p>
        </w:tc>
        <w:tc>
          <w:tcPr>
            <w:tcW w:w="1860" w:type="dxa"/>
            <w:tcMar>
              <w:top w:w="0" w:type="dxa"/>
              <w:bottom w:w="0" w:type="dxa"/>
            </w:tcMar>
            <w:vAlign w:val="center"/>
          </w:tcPr>
          <w:p w14:paraId="2F4E5233" w14:textId="77777777" w:rsidR="009A454C" w:rsidRDefault="00000000">
            <w:pPr>
              <w:keepNext/>
              <w:keepLines/>
              <w:spacing w:after="0" w:line="240" w:lineRule="auto"/>
              <w:jc w:val="right"/>
            </w:pPr>
            <w:r>
              <w:rPr>
                <w:sz w:val="18"/>
              </w:rPr>
              <w:t>1.620,00</w:t>
            </w:r>
          </w:p>
        </w:tc>
        <w:tc>
          <w:tcPr>
            <w:tcW w:w="700" w:type="dxa"/>
            <w:tcMar>
              <w:top w:w="0" w:type="dxa"/>
              <w:bottom w:w="0" w:type="dxa"/>
            </w:tcMar>
            <w:vAlign w:val="center"/>
          </w:tcPr>
          <w:p w14:paraId="6AB44E0F" w14:textId="77777777" w:rsidR="009A454C" w:rsidRDefault="00000000">
            <w:pPr>
              <w:keepNext/>
              <w:keepLines/>
              <w:spacing w:after="0" w:line="240" w:lineRule="auto"/>
              <w:jc w:val="right"/>
            </w:pPr>
            <w:r>
              <w:rPr>
                <w:sz w:val="18"/>
              </w:rPr>
              <w:t>100</w:t>
            </w:r>
          </w:p>
        </w:tc>
      </w:tr>
    </w:tbl>
    <w:p w14:paraId="47D8345E" w14:textId="77777777" w:rsidR="009A454C" w:rsidRDefault="009A454C">
      <w:pPr>
        <w:spacing w:after="0"/>
      </w:pPr>
    </w:p>
    <w:p w14:paraId="4C5DE4D9" w14:textId="77777777" w:rsidR="009A454C" w:rsidRDefault="00000000">
      <w:r>
        <w:t>Na skupini 63 evidentirane su pomoći iz inozemstva i od subjekata unutar općeg proračuna u vrijednosti od 1.620,00 eura. </w:t>
      </w:r>
    </w:p>
    <w:p w14:paraId="4921257C" w14:textId="77777777" w:rsidR="009A454C" w:rsidRDefault="00000000">
      <w:r>
        <w:t>-          Tekuće pomoći proračunskim korisnicima iz proračuna koji im nije nadležan u iznosu od 1.620,00 eura odnose se na nastavak ostvarenja financijske podrške za smanjenje utjecaja porasta cijena energenata na temelju provedbe Javnog poziva od strane MRMSOSP-a. Mjesečni iznos subvencije iznosi 540,00 eura te su ostvareni prihodi u promatranom razdoblju tekuće godine jednaki ostvarenim prihodima u promatranom periodu prethodne godine.  </w:t>
      </w:r>
    </w:p>
    <w:p w14:paraId="17A7D8EC" w14:textId="77777777" w:rsidR="009A454C" w:rsidRDefault="009A454C"/>
    <w:p w14:paraId="1D39852B" w14:textId="77777777" w:rsidR="009A454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734A3F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B67546"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BDD02D"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E82EB5"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4A003"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B46CA"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799F5" w14:textId="77777777" w:rsidR="009A454C" w:rsidRDefault="00000000">
            <w:pPr>
              <w:keepNext/>
              <w:keepLines/>
              <w:spacing w:after="0" w:line="240" w:lineRule="auto"/>
              <w:jc w:val="center"/>
            </w:pPr>
            <w:r>
              <w:rPr>
                <w:b/>
                <w:sz w:val="18"/>
              </w:rPr>
              <w:t>Indeks (%)</w:t>
            </w:r>
          </w:p>
        </w:tc>
      </w:tr>
      <w:tr w:rsidR="009A454C" w14:paraId="70CB0842" w14:textId="77777777">
        <w:tblPrEx>
          <w:tblCellMar>
            <w:top w:w="0" w:type="dxa"/>
            <w:bottom w:w="0" w:type="dxa"/>
          </w:tblCellMar>
        </w:tblPrEx>
        <w:trPr>
          <w:cantSplit/>
          <w:trHeight w:val="560"/>
        </w:trPr>
        <w:tc>
          <w:tcPr>
            <w:tcW w:w="700" w:type="dxa"/>
            <w:tcMar>
              <w:top w:w="0" w:type="dxa"/>
              <w:bottom w:w="0" w:type="dxa"/>
            </w:tcMar>
            <w:vAlign w:val="center"/>
          </w:tcPr>
          <w:p w14:paraId="026ED50B" w14:textId="77777777" w:rsidR="009A454C" w:rsidRDefault="00000000">
            <w:pPr>
              <w:keepNext/>
              <w:keepLines/>
              <w:spacing w:after="0" w:line="240" w:lineRule="auto"/>
            </w:pPr>
            <w:r>
              <w:rPr>
                <w:sz w:val="18"/>
              </w:rPr>
              <w:t>64</w:t>
            </w:r>
          </w:p>
        </w:tc>
        <w:tc>
          <w:tcPr>
            <w:tcW w:w="3180" w:type="dxa"/>
            <w:tcMar>
              <w:top w:w="0" w:type="dxa"/>
              <w:bottom w:w="0" w:type="dxa"/>
            </w:tcMar>
            <w:vAlign w:val="center"/>
          </w:tcPr>
          <w:p w14:paraId="70EFC842" w14:textId="77777777" w:rsidR="009A454C"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39E26DD6" w14:textId="77777777" w:rsidR="009A454C" w:rsidRDefault="00000000">
            <w:pPr>
              <w:keepNext/>
              <w:keepLines/>
              <w:spacing w:after="0" w:line="240" w:lineRule="auto"/>
            </w:pPr>
            <w:r>
              <w:rPr>
                <w:sz w:val="18"/>
              </w:rPr>
              <w:t>64</w:t>
            </w:r>
          </w:p>
        </w:tc>
        <w:tc>
          <w:tcPr>
            <w:tcW w:w="1860" w:type="dxa"/>
            <w:tcMar>
              <w:top w:w="0" w:type="dxa"/>
              <w:bottom w:w="0" w:type="dxa"/>
            </w:tcMar>
            <w:vAlign w:val="center"/>
          </w:tcPr>
          <w:p w14:paraId="3E9C7DD7" w14:textId="77777777" w:rsidR="009A454C" w:rsidRDefault="00000000">
            <w:pPr>
              <w:keepNext/>
              <w:keepLines/>
              <w:spacing w:after="0" w:line="240" w:lineRule="auto"/>
              <w:jc w:val="right"/>
            </w:pPr>
            <w:r>
              <w:rPr>
                <w:sz w:val="18"/>
              </w:rPr>
              <w:t>5,92</w:t>
            </w:r>
          </w:p>
        </w:tc>
        <w:tc>
          <w:tcPr>
            <w:tcW w:w="1860" w:type="dxa"/>
            <w:tcMar>
              <w:top w:w="0" w:type="dxa"/>
              <w:bottom w:w="0" w:type="dxa"/>
            </w:tcMar>
            <w:vAlign w:val="center"/>
          </w:tcPr>
          <w:p w14:paraId="14946571" w14:textId="77777777" w:rsidR="009A454C" w:rsidRDefault="00000000">
            <w:pPr>
              <w:keepNext/>
              <w:keepLines/>
              <w:spacing w:after="0" w:line="240" w:lineRule="auto"/>
              <w:jc w:val="right"/>
            </w:pPr>
            <w:r>
              <w:rPr>
                <w:sz w:val="18"/>
              </w:rPr>
              <w:t>11,38</w:t>
            </w:r>
          </w:p>
        </w:tc>
        <w:tc>
          <w:tcPr>
            <w:tcW w:w="700" w:type="dxa"/>
            <w:tcMar>
              <w:top w:w="0" w:type="dxa"/>
              <w:bottom w:w="0" w:type="dxa"/>
            </w:tcMar>
            <w:vAlign w:val="center"/>
          </w:tcPr>
          <w:p w14:paraId="1C046CB4" w14:textId="77777777" w:rsidR="009A454C" w:rsidRDefault="00000000">
            <w:pPr>
              <w:keepNext/>
              <w:keepLines/>
              <w:spacing w:after="0" w:line="240" w:lineRule="auto"/>
              <w:jc w:val="right"/>
            </w:pPr>
            <w:r>
              <w:rPr>
                <w:sz w:val="18"/>
              </w:rPr>
              <w:t>192,2</w:t>
            </w:r>
          </w:p>
        </w:tc>
      </w:tr>
    </w:tbl>
    <w:p w14:paraId="3808C822" w14:textId="77777777" w:rsidR="009A454C" w:rsidRDefault="009A454C">
      <w:pPr>
        <w:spacing w:after="0"/>
      </w:pPr>
    </w:p>
    <w:p w14:paraId="43F29971" w14:textId="77777777" w:rsidR="009A454C" w:rsidRDefault="00000000">
      <w:r>
        <w:t>Skupina 64 označava evidentirane prihode od financijske imovine u iznosu od 11,38 eura što je za 92,2 % više u odnosu na prvo tromjesečje 2025. godine.</w:t>
      </w:r>
    </w:p>
    <w:p w14:paraId="4CF55CC4" w14:textId="77777777" w:rsidR="009A454C" w:rsidRDefault="00000000">
      <w:r>
        <w:t>-          Ostvarene kamate po žiroračunu – 11,38 eura. Zbog većeg salda na poslovnom računu ostvaren je veći iznos kamata.</w:t>
      </w:r>
    </w:p>
    <w:p w14:paraId="7BF4A770" w14:textId="77777777" w:rsidR="009A454C" w:rsidRDefault="009A454C"/>
    <w:p w14:paraId="73C86487" w14:textId="77777777" w:rsidR="009A454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4E2755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C57E29"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85D31E"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11924"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2E3B7E"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AD1A35"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D31708" w14:textId="77777777" w:rsidR="009A454C" w:rsidRDefault="00000000">
            <w:pPr>
              <w:keepNext/>
              <w:keepLines/>
              <w:spacing w:after="0" w:line="240" w:lineRule="auto"/>
              <w:jc w:val="center"/>
            </w:pPr>
            <w:r>
              <w:rPr>
                <w:b/>
                <w:sz w:val="18"/>
              </w:rPr>
              <w:t>Indeks (%)</w:t>
            </w:r>
          </w:p>
        </w:tc>
      </w:tr>
      <w:tr w:rsidR="009A454C" w14:paraId="7A52DEA3" w14:textId="77777777">
        <w:tblPrEx>
          <w:tblCellMar>
            <w:top w:w="0" w:type="dxa"/>
            <w:bottom w:w="0" w:type="dxa"/>
          </w:tblCellMar>
        </w:tblPrEx>
        <w:trPr>
          <w:cantSplit/>
          <w:trHeight w:val="560"/>
        </w:trPr>
        <w:tc>
          <w:tcPr>
            <w:tcW w:w="700" w:type="dxa"/>
            <w:tcMar>
              <w:top w:w="0" w:type="dxa"/>
              <w:bottom w:w="0" w:type="dxa"/>
            </w:tcMar>
            <w:vAlign w:val="center"/>
          </w:tcPr>
          <w:p w14:paraId="55F83343" w14:textId="77777777" w:rsidR="009A454C" w:rsidRDefault="00000000">
            <w:pPr>
              <w:keepNext/>
              <w:keepLines/>
              <w:spacing w:after="0" w:line="240" w:lineRule="auto"/>
            </w:pPr>
            <w:r>
              <w:rPr>
                <w:sz w:val="18"/>
              </w:rPr>
              <w:t>65</w:t>
            </w:r>
          </w:p>
        </w:tc>
        <w:tc>
          <w:tcPr>
            <w:tcW w:w="3180" w:type="dxa"/>
            <w:tcMar>
              <w:top w:w="0" w:type="dxa"/>
              <w:bottom w:w="0" w:type="dxa"/>
            </w:tcMar>
            <w:vAlign w:val="center"/>
          </w:tcPr>
          <w:p w14:paraId="2DD37E5D" w14:textId="77777777" w:rsidR="009A454C"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5A37447" w14:textId="77777777" w:rsidR="009A454C" w:rsidRDefault="00000000">
            <w:pPr>
              <w:keepNext/>
              <w:keepLines/>
              <w:spacing w:after="0" w:line="240" w:lineRule="auto"/>
            </w:pPr>
            <w:r>
              <w:rPr>
                <w:sz w:val="18"/>
              </w:rPr>
              <w:t>65</w:t>
            </w:r>
          </w:p>
        </w:tc>
        <w:tc>
          <w:tcPr>
            <w:tcW w:w="1860" w:type="dxa"/>
            <w:tcMar>
              <w:top w:w="0" w:type="dxa"/>
              <w:bottom w:w="0" w:type="dxa"/>
            </w:tcMar>
            <w:vAlign w:val="center"/>
          </w:tcPr>
          <w:p w14:paraId="0AB08E01" w14:textId="77777777" w:rsidR="009A454C" w:rsidRDefault="00000000">
            <w:pPr>
              <w:keepNext/>
              <w:keepLines/>
              <w:spacing w:after="0" w:line="240" w:lineRule="auto"/>
              <w:jc w:val="right"/>
            </w:pPr>
            <w:r>
              <w:rPr>
                <w:sz w:val="18"/>
              </w:rPr>
              <w:t>240.302,19</w:t>
            </w:r>
          </w:p>
        </w:tc>
        <w:tc>
          <w:tcPr>
            <w:tcW w:w="1860" w:type="dxa"/>
            <w:tcMar>
              <w:top w:w="0" w:type="dxa"/>
              <w:bottom w:w="0" w:type="dxa"/>
            </w:tcMar>
            <w:vAlign w:val="center"/>
          </w:tcPr>
          <w:p w14:paraId="32447768" w14:textId="77777777" w:rsidR="009A454C" w:rsidRDefault="00000000">
            <w:pPr>
              <w:keepNext/>
              <w:keepLines/>
              <w:spacing w:after="0" w:line="240" w:lineRule="auto"/>
              <w:jc w:val="right"/>
            </w:pPr>
            <w:r>
              <w:rPr>
                <w:sz w:val="18"/>
              </w:rPr>
              <w:t>249.177,08</w:t>
            </w:r>
          </w:p>
        </w:tc>
        <w:tc>
          <w:tcPr>
            <w:tcW w:w="700" w:type="dxa"/>
            <w:tcMar>
              <w:top w:w="0" w:type="dxa"/>
              <w:bottom w:w="0" w:type="dxa"/>
            </w:tcMar>
            <w:vAlign w:val="center"/>
          </w:tcPr>
          <w:p w14:paraId="07A5AFB8" w14:textId="77777777" w:rsidR="009A454C" w:rsidRDefault="00000000">
            <w:pPr>
              <w:keepNext/>
              <w:keepLines/>
              <w:spacing w:after="0" w:line="240" w:lineRule="auto"/>
              <w:jc w:val="right"/>
            </w:pPr>
            <w:r>
              <w:rPr>
                <w:sz w:val="18"/>
              </w:rPr>
              <w:t>103,7</w:t>
            </w:r>
          </w:p>
        </w:tc>
      </w:tr>
    </w:tbl>
    <w:p w14:paraId="58340747" w14:textId="77777777" w:rsidR="009A454C" w:rsidRDefault="009A454C">
      <w:pPr>
        <w:spacing w:after="0"/>
      </w:pPr>
    </w:p>
    <w:p w14:paraId="5F081691" w14:textId="77777777" w:rsidR="009A454C" w:rsidRDefault="00000000">
      <w:r>
        <w:t>Na skupini 65 prikazani su prihodi od upravnih i administrativnih pristojbi, pristojbi po posebnim propisima i naknada u iznosu od 249.177,08 eura što je za 3,7 % više u odnosu na isto razdoblje prethodne 2025. godine.</w:t>
      </w:r>
    </w:p>
    <w:p w14:paraId="5456A878" w14:textId="77777777" w:rsidR="009A454C" w:rsidRDefault="00000000">
      <w:r>
        <w:t xml:space="preserve">-          Prihodi po posebnim propisima (iz vlastite djelatnosti) u ukupnom iznosu od 249.177,08 eura evidentiraju se kao prihodi od </w:t>
      </w:r>
      <w:proofErr w:type="spellStart"/>
      <w:r>
        <w:t>opskrbnine</w:t>
      </w:r>
      <w:proofErr w:type="spellEnd"/>
      <w:r>
        <w:t xml:space="preserve"> (smještaj), ručkova i pratnje korisnika u iznosu od 248.048,38 eura (u siječnju 2026.g. ostvaren prihod od </w:t>
      </w:r>
      <w:proofErr w:type="spellStart"/>
      <w:r>
        <w:t>opskrbnina</w:t>
      </w:r>
      <w:proofErr w:type="spellEnd"/>
      <w:r>
        <w:t xml:space="preserve"> i ručkova iz 2025. godine – MROSP), kao Prihodi na temelju refundacija rashoda iz prethodnih </w:t>
      </w:r>
      <w:r>
        <w:lastRenderedPageBreak/>
        <w:t>godina u iznosu od 513,70 eura, a odnose se na prethodne preglede radnika pri zapošljavanju te kao Prihodi s naslova osiguranja (refundacija štete) u iznosu od 615,00 eura.</w:t>
      </w:r>
    </w:p>
    <w:p w14:paraId="1B89DDBC" w14:textId="77777777" w:rsidR="009A454C" w:rsidRDefault="009A454C"/>
    <w:p w14:paraId="130C3C7B" w14:textId="77777777" w:rsidR="009A454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3D2EFA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790396"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8B8794"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DD1CCB"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68464"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31D8DA"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590C05" w14:textId="77777777" w:rsidR="009A454C" w:rsidRDefault="00000000">
            <w:pPr>
              <w:keepNext/>
              <w:keepLines/>
              <w:spacing w:after="0" w:line="240" w:lineRule="auto"/>
              <w:jc w:val="center"/>
            </w:pPr>
            <w:r>
              <w:rPr>
                <w:b/>
                <w:sz w:val="18"/>
              </w:rPr>
              <w:t>Indeks (%)</w:t>
            </w:r>
          </w:p>
        </w:tc>
      </w:tr>
      <w:tr w:rsidR="009A454C" w14:paraId="653606A6" w14:textId="77777777">
        <w:tblPrEx>
          <w:tblCellMar>
            <w:top w:w="0" w:type="dxa"/>
            <w:bottom w:w="0" w:type="dxa"/>
          </w:tblCellMar>
        </w:tblPrEx>
        <w:trPr>
          <w:cantSplit/>
          <w:trHeight w:val="560"/>
        </w:trPr>
        <w:tc>
          <w:tcPr>
            <w:tcW w:w="700" w:type="dxa"/>
            <w:tcMar>
              <w:top w:w="0" w:type="dxa"/>
              <w:bottom w:w="0" w:type="dxa"/>
            </w:tcMar>
            <w:vAlign w:val="center"/>
          </w:tcPr>
          <w:p w14:paraId="4E3C9813" w14:textId="77777777" w:rsidR="009A454C" w:rsidRDefault="00000000">
            <w:pPr>
              <w:keepNext/>
              <w:keepLines/>
              <w:spacing w:after="0" w:line="240" w:lineRule="auto"/>
            </w:pPr>
            <w:r>
              <w:rPr>
                <w:sz w:val="18"/>
              </w:rPr>
              <w:t>66</w:t>
            </w:r>
          </w:p>
        </w:tc>
        <w:tc>
          <w:tcPr>
            <w:tcW w:w="3180" w:type="dxa"/>
            <w:tcMar>
              <w:top w:w="0" w:type="dxa"/>
              <w:bottom w:w="0" w:type="dxa"/>
            </w:tcMar>
            <w:vAlign w:val="center"/>
          </w:tcPr>
          <w:p w14:paraId="05A2DD55" w14:textId="77777777" w:rsidR="009A454C"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411C3D8" w14:textId="77777777" w:rsidR="009A454C" w:rsidRDefault="00000000">
            <w:pPr>
              <w:keepNext/>
              <w:keepLines/>
              <w:spacing w:after="0" w:line="240" w:lineRule="auto"/>
            </w:pPr>
            <w:r>
              <w:rPr>
                <w:sz w:val="18"/>
              </w:rPr>
              <w:t>66</w:t>
            </w:r>
          </w:p>
        </w:tc>
        <w:tc>
          <w:tcPr>
            <w:tcW w:w="1860" w:type="dxa"/>
            <w:tcMar>
              <w:top w:w="0" w:type="dxa"/>
              <w:bottom w:w="0" w:type="dxa"/>
            </w:tcMar>
            <w:vAlign w:val="center"/>
          </w:tcPr>
          <w:p w14:paraId="489317A0" w14:textId="77777777" w:rsidR="009A454C" w:rsidRDefault="00000000">
            <w:pPr>
              <w:keepNext/>
              <w:keepLines/>
              <w:spacing w:after="0" w:line="240" w:lineRule="auto"/>
              <w:jc w:val="right"/>
            </w:pPr>
            <w:r>
              <w:rPr>
                <w:sz w:val="18"/>
              </w:rPr>
              <w:t>1.227,27</w:t>
            </w:r>
          </w:p>
        </w:tc>
        <w:tc>
          <w:tcPr>
            <w:tcW w:w="1860" w:type="dxa"/>
            <w:tcMar>
              <w:top w:w="0" w:type="dxa"/>
              <w:bottom w:w="0" w:type="dxa"/>
            </w:tcMar>
            <w:vAlign w:val="center"/>
          </w:tcPr>
          <w:p w14:paraId="4DFE2D04" w14:textId="77777777" w:rsidR="009A454C" w:rsidRDefault="00000000">
            <w:pPr>
              <w:keepNext/>
              <w:keepLines/>
              <w:spacing w:after="0" w:line="240" w:lineRule="auto"/>
              <w:jc w:val="right"/>
            </w:pPr>
            <w:r>
              <w:rPr>
                <w:sz w:val="18"/>
              </w:rPr>
              <w:t>1.217,25</w:t>
            </w:r>
          </w:p>
        </w:tc>
        <w:tc>
          <w:tcPr>
            <w:tcW w:w="700" w:type="dxa"/>
            <w:tcMar>
              <w:top w:w="0" w:type="dxa"/>
              <w:bottom w:w="0" w:type="dxa"/>
            </w:tcMar>
            <w:vAlign w:val="center"/>
          </w:tcPr>
          <w:p w14:paraId="2B11CEC4" w14:textId="77777777" w:rsidR="009A454C" w:rsidRDefault="00000000">
            <w:pPr>
              <w:keepNext/>
              <w:keepLines/>
              <w:spacing w:after="0" w:line="240" w:lineRule="auto"/>
              <w:jc w:val="right"/>
            </w:pPr>
            <w:r>
              <w:rPr>
                <w:sz w:val="18"/>
              </w:rPr>
              <w:t>99,2</w:t>
            </w:r>
          </w:p>
        </w:tc>
      </w:tr>
    </w:tbl>
    <w:p w14:paraId="64A9F927" w14:textId="77777777" w:rsidR="009A454C" w:rsidRDefault="009A454C">
      <w:pPr>
        <w:spacing w:after="0"/>
      </w:pPr>
    </w:p>
    <w:p w14:paraId="67C827C1" w14:textId="77777777" w:rsidR="009A454C" w:rsidRDefault="00000000">
      <w:r>
        <w:t>Skupina 66 odnosi se na prihode od prodaje proizvoda i robe te pruženih usluga, prihode od donacija te povrata po protestiranim jamstvima u ukupnom iznosu od 1.217,25 eura što je za 0,8 % manje u odnosu na isti promatrani period u 2025. godini, a čine ih Prihodi od pruženih usluga koji su ostvareni od najma dijela poslovnog prostora za aparate za kavu i zakupa dijela nekretnine za reklamni prostor. </w:t>
      </w:r>
    </w:p>
    <w:p w14:paraId="04AA081C" w14:textId="77777777" w:rsidR="009A454C" w:rsidRDefault="00000000">
      <w:r>
        <w:t>U promatranom razdoblju na manje ostvarenje prihoda od pruženih usluga utjecalo je djelomično podmirenje fakture za zakup dijela nekretnine za reklamni prostor siječanj – ožujak 2026. godine (nije podmiren iznos uvećanja za postotak inflacije prema Državnom zavodu za statistiku) dok je iznos mjesečne zakupnine dijela poslovnog prostora za aparate za kavu sukladno Ugovoru o zakupu poslovnog prostora br. 37/25, sklopljenom za period od 01.01.2026. do 31.12.2028. godine, koji iznosi 187,50 eura, nešto niži od prethodno ugovorenog iznosa od 198,00 eura (raskid Ugovora s 31.12.2025.g. zbog nemogućnosti ispunjenja ugovornih obveza od strane Zakupnika). </w:t>
      </w:r>
    </w:p>
    <w:p w14:paraId="0A05CA5B" w14:textId="77777777" w:rsidR="009A454C" w:rsidRDefault="009A454C"/>
    <w:p w14:paraId="1B30B0AB" w14:textId="77777777" w:rsidR="009A454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09F3A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F65F06"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A826EC"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9F8FD"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01BFCD"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7F6A9"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2E8D67" w14:textId="77777777" w:rsidR="009A454C" w:rsidRDefault="00000000">
            <w:pPr>
              <w:keepNext/>
              <w:keepLines/>
              <w:spacing w:after="0" w:line="240" w:lineRule="auto"/>
              <w:jc w:val="center"/>
            </w:pPr>
            <w:r>
              <w:rPr>
                <w:b/>
                <w:sz w:val="18"/>
              </w:rPr>
              <w:t>Indeks (%)</w:t>
            </w:r>
          </w:p>
        </w:tc>
      </w:tr>
      <w:tr w:rsidR="009A454C" w14:paraId="11B2B9F6" w14:textId="77777777">
        <w:tblPrEx>
          <w:tblCellMar>
            <w:top w:w="0" w:type="dxa"/>
            <w:bottom w:w="0" w:type="dxa"/>
          </w:tblCellMar>
        </w:tblPrEx>
        <w:trPr>
          <w:cantSplit/>
          <w:trHeight w:val="560"/>
        </w:trPr>
        <w:tc>
          <w:tcPr>
            <w:tcW w:w="700" w:type="dxa"/>
            <w:tcMar>
              <w:top w:w="0" w:type="dxa"/>
              <w:bottom w:w="0" w:type="dxa"/>
            </w:tcMar>
            <w:vAlign w:val="center"/>
          </w:tcPr>
          <w:p w14:paraId="63E929E3" w14:textId="77777777" w:rsidR="009A454C" w:rsidRDefault="00000000">
            <w:pPr>
              <w:keepNext/>
              <w:keepLines/>
              <w:spacing w:after="0" w:line="240" w:lineRule="auto"/>
            </w:pPr>
            <w:r>
              <w:rPr>
                <w:sz w:val="18"/>
              </w:rPr>
              <w:t>67</w:t>
            </w:r>
          </w:p>
        </w:tc>
        <w:tc>
          <w:tcPr>
            <w:tcW w:w="3180" w:type="dxa"/>
            <w:tcMar>
              <w:top w:w="0" w:type="dxa"/>
              <w:bottom w:w="0" w:type="dxa"/>
            </w:tcMar>
            <w:vAlign w:val="center"/>
          </w:tcPr>
          <w:p w14:paraId="02F8C987" w14:textId="77777777" w:rsidR="009A454C"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1D57EE47" w14:textId="77777777" w:rsidR="009A454C" w:rsidRDefault="00000000">
            <w:pPr>
              <w:keepNext/>
              <w:keepLines/>
              <w:spacing w:after="0" w:line="240" w:lineRule="auto"/>
            </w:pPr>
            <w:r>
              <w:rPr>
                <w:sz w:val="18"/>
              </w:rPr>
              <w:t>67</w:t>
            </w:r>
          </w:p>
        </w:tc>
        <w:tc>
          <w:tcPr>
            <w:tcW w:w="1860" w:type="dxa"/>
            <w:tcMar>
              <w:top w:w="0" w:type="dxa"/>
              <w:bottom w:w="0" w:type="dxa"/>
            </w:tcMar>
            <w:vAlign w:val="center"/>
          </w:tcPr>
          <w:p w14:paraId="515CD00B" w14:textId="77777777" w:rsidR="009A454C" w:rsidRDefault="00000000">
            <w:pPr>
              <w:keepNext/>
              <w:keepLines/>
              <w:spacing w:after="0" w:line="240" w:lineRule="auto"/>
              <w:jc w:val="right"/>
            </w:pPr>
            <w:r>
              <w:rPr>
                <w:sz w:val="18"/>
              </w:rPr>
              <w:t>232.790,12</w:t>
            </w:r>
          </w:p>
        </w:tc>
        <w:tc>
          <w:tcPr>
            <w:tcW w:w="1860" w:type="dxa"/>
            <w:tcMar>
              <w:top w:w="0" w:type="dxa"/>
              <w:bottom w:w="0" w:type="dxa"/>
            </w:tcMar>
            <w:vAlign w:val="center"/>
          </w:tcPr>
          <w:p w14:paraId="70A613F4" w14:textId="77777777" w:rsidR="009A454C" w:rsidRDefault="00000000">
            <w:pPr>
              <w:keepNext/>
              <w:keepLines/>
              <w:spacing w:after="0" w:line="240" w:lineRule="auto"/>
              <w:jc w:val="right"/>
            </w:pPr>
            <w:r>
              <w:rPr>
                <w:sz w:val="18"/>
              </w:rPr>
              <w:t>208.195,23</w:t>
            </w:r>
          </w:p>
        </w:tc>
        <w:tc>
          <w:tcPr>
            <w:tcW w:w="700" w:type="dxa"/>
            <w:tcMar>
              <w:top w:w="0" w:type="dxa"/>
              <w:bottom w:w="0" w:type="dxa"/>
            </w:tcMar>
            <w:vAlign w:val="center"/>
          </w:tcPr>
          <w:p w14:paraId="2E586F4D" w14:textId="77777777" w:rsidR="009A454C" w:rsidRDefault="00000000">
            <w:pPr>
              <w:keepNext/>
              <w:keepLines/>
              <w:spacing w:after="0" w:line="240" w:lineRule="auto"/>
              <w:jc w:val="right"/>
            </w:pPr>
            <w:r>
              <w:rPr>
                <w:sz w:val="18"/>
              </w:rPr>
              <w:t>89,4</w:t>
            </w:r>
          </w:p>
        </w:tc>
      </w:tr>
    </w:tbl>
    <w:p w14:paraId="1094D5CE" w14:textId="77777777" w:rsidR="009A454C" w:rsidRDefault="009A454C">
      <w:pPr>
        <w:spacing w:after="0"/>
      </w:pPr>
    </w:p>
    <w:p w14:paraId="38DB0598" w14:textId="77777777" w:rsidR="009A454C" w:rsidRDefault="00000000">
      <w:r>
        <w:t>Na skupini 67 iskazani su prihodi iz nadležnog proračuna i od HZZO-a na temelju ugovornih obveza u iznosu od 208.195,23 eura što je za 10,6 % manje u usporedbi s istim razdobljem prethodne godine zbog dinamike povlačenja sredstava, a čine ih Prihodi iz nadležnog proračuna za financiranje rashoda poslovanja (6711) koji su osigurani za pokriće rashoda za zaposlene, za naknadu za rad članova Upravnog vijeća te za ostale materijalne rashode kao što su rashodi za namirnice i energiju, za usluge tekućeg i investicijskog održavanja i slično. </w:t>
      </w:r>
    </w:p>
    <w:p w14:paraId="4572762E" w14:textId="77777777" w:rsidR="009A454C" w:rsidRDefault="00000000">
      <w:r>
        <w:t> </w:t>
      </w:r>
    </w:p>
    <w:p w14:paraId="532C9402" w14:textId="77777777" w:rsidR="009A454C" w:rsidRDefault="009A454C"/>
    <w:p w14:paraId="7036EDA3" w14:textId="77777777" w:rsidR="009A454C"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56D5BF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47690D"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5BB4F"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3FD09E"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30E40"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66059"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9B31E4" w14:textId="77777777" w:rsidR="009A454C" w:rsidRDefault="00000000">
            <w:pPr>
              <w:keepNext/>
              <w:keepLines/>
              <w:spacing w:after="0" w:line="240" w:lineRule="auto"/>
              <w:jc w:val="center"/>
            </w:pPr>
            <w:r>
              <w:rPr>
                <w:b/>
                <w:sz w:val="18"/>
              </w:rPr>
              <w:t>Indeks (%)</w:t>
            </w:r>
          </w:p>
        </w:tc>
      </w:tr>
      <w:tr w:rsidR="009A454C" w14:paraId="38DCAE0B" w14:textId="77777777">
        <w:tblPrEx>
          <w:tblCellMar>
            <w:top w:w="0" w:type="dxa"/>
            <w:bottom w:w="0" w:type="dxa"/>
          </w:tblCellMar>
        </w:tblPrEx>
        <w:trPr>
          <w:cantSplit/>
          <w:trHeight w:val="560"/>
        </w:trPr>
        <w:tc>
          <w:tcPr>
            <w:tcW w:w="700" w:type="dxa"/>
            <w:tcMar>
              <w:top w:w="0" w:type="dxa"/>
              <w:bottom w:w="0" w:type="dxa"/>
            </w:tcMar>
            <w:vAlign w:val="center"/>
          </w:tcPr>
          <w:p w14:paraId="6121BE17" w14:textId="77777777" w:rsidR="009A454C" w:rsidRDefault="00000000">
            <w:pPr>
              <w:keepNext/>
              <w:keepLines/>
              <w:spacing w:after="0" w:line="240" w:lineRule="auto"/>
            </w:pPr>
            <w:r>
              <w:rPr>
                <w:sz w:val="18"/>
              </w:rPr>
              <w:t>3</w:t>
            </w:r>
          </w:p>
        </w:tc>
        <w:tc>
          <w:tcPr>
            <w:tcW w:w="3180" w:type="dxa"/>
            <w:tcMar>
              <w:top w:w="0" w:type="dxa"/>
              <w:bottom w:w="0" w:type="dxa"/>
            </w:tcMar>
            <w:vAlign w:val="center"/>
          </w:tcPr>
          <w:p w14:paraId="66865198" w14:textId="77777777" w:rsidR="009A454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9F51ADF" w14:textId="77777777" w:rsidR="009A454C" w:rsidRDefault="00000000">
            <w:pPr>
              <w:keepNext/>
              <w:keepLines/>
              <w:spacing w:after="0" w:line="240" w:lineRule="auto"/>
            </w:pPr>
            <w:r>
              <w:rPr>
                <w:sz w:val="18"/>
              </w:rPr>
              <w:t>3</w:t>
            </w:r>
          </w:p>
        </w:tc>
        <w:tc>
          <w:tcPr>
            <w:tcW w:w="1860" w:type="dxa"/>
            <w:tcMar>
              <w:top w:w="0" w:type="dxa"/>
              <w:bottom w:w="0" w:type="dxa"/>
            </w:tcMar>
            <w:vAlign w:val="center"/>
          </w:tcPr>
          <w:p w14:paraId="5B14B101" w14:textId="77777777" w:rsidR="009A454C" w:rsidRDefault="00000000">
            <w:pPr>
              <w:keepNext/>
              <w:keepLines/>
              <w:spacing w:after="0" w:line="240" w:lineRule="auto"/>
              <w:jc w:val="right"/>
            </w:pPr>
            <w:r>
              <w:rPr>
                <w:sz w:val="18"/>
              </w:rPr>
              <w:t>591.441,02</w:t>
            </w:r>
          </w:p>
        </w:tc>
        <w:tc>
          <w:tcPr>
            <w:tcW w:w="1860" w:type="dxa"/>
            <w:tcMar>
              <w:top w:w="0" w:type="dxa"/>
              <w:bottom w:w="0" w:type="dxa"/>
            </w:tcMar>
            <w:vAlign w:val="center"/>
          </w:tcPr>
          <w:p w14:paraId="43D764F4" w14:textId="77777777" w:rsidR="009A454C" w:rsidRDefault="00000000">
            <w:pPr>
              <w:keepNext/>
              <w:keepLines/>
              <w:spacing w:after="0" w:line="240" w:lineRule="auto"/>
              <w:jc w:val="right"/>
            </w:pPr>
            <w:r>
              <w:rPr>
                <w:sz w:val="18"/>
              </w:rPr>
              <w:t>487.195,38</w:t>
            </w:r>
          </w:p>
        </w:tc>
        <w:tc>
          <w:tcPr>
            <w:tcW w:w="700" w:type="dxa"/>
            <w:tcMar>
              <w:top w:w="0" w:type="dxa"/>
              <w:bottom w:w="0" w:type="dxa"/>
            </w:tcMar>
            <w:vAlign w:val="center"/>
          </w:tcPr>
          <w:p w14:paraId="3948CC91" w14:textId="77777777" w:rsidR="009A454C" w:rsidRDefault="00000000">
            <w:pPr>
              <w:keepNext/>
              <w:keepLines/>
              <w:spacing w:after="0" w:line="240" w:lineRule="auto"/>
              <w:jc w:val="right"/>
            </w:pPr>
            <w:r>
              <w:rPr>
                <w:sz w:val="18"/>
              </w:rPr>
              <w:t>82,4</w:t>
            </w:r>
          </w:p>
        </w:tc>
      </w:tr>
    </w:tbl>
    <w:p w14:paraId="050DADE6" w14:textId="77777777" w:rsidR="009A454C" w:rsidRDefault="009A454C">
      <w:pPr>
        <w:spacing w:after="0"/>
      </w:pPr>
    </w:p>
    <w:p w14:paraId="78D4F21F" w14:textId="77777777" w:rsidR="009A454C" w:rsidRDefault="00000000">
      <w:r>
        <w:t>Razred 3 prikazuje rashode poslovanja u iznosu od 487.195,38 eura što je za 17,6 % manje u odnosu na prvo tromjesečje 2025. godine.</w:t>
      </w:r>
    </w:p>
    <w:p w14:paraId="1C59777D" w14:textId="77777777" w:rsidR="009A454C" w:rsidRDefault="009A454C"/>
    <w:p w14:paraId="2F49C35D" w14:textId="77777777" w:rsidR="009A454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73B9D3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D88F2B"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F929ED"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CA69F9"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05F7C"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6BCC5A"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B43EE" w14:textId="77777777" w:rsidR="009A454C" w:rsidRDefault="00000000">
            <w:pPr>
              <w:keepNext/>
              <w:keepLines/>
              <w:spacing w:after="0" w:line="240" w:lineRule="auto"/>
              <w:jc w:val="center"/>
            </w:pPr>
            <w:r>
              <w:rPr>
                <w:b/>
                <w:sz w:val="18"/>
              </w:rPr>
              <w:t>Indeks (%)</w:t>
            </w:r>
          </w:p>
        </w:tc>
      </w:tr>
      <w:tr w:rsidR="009A454C" w14:paraId="36B2E5F8" w14:textId="77777777">
        <w:tblPrEx>
          <w:tblCellMar>
            <w:top w:w="0" w:type="dxa"/>
            <w:bottom w:w="0" w:type="dxa"/>
          </w:tblCellMar>
        </w:tblPrEx>
        <w:trPr>
          <w:cantSplit/>
          <w:trHeight w:val="560"/>
        </w:trPr>
        <w:tc>
          <w:tcPr>
            <w:tcW w:w="700" w:type="dxa"/>
            <w:tcMar>
              <w:top w:w="0" w:type="dxa"/>
              <w:bottom w:w="0" w:type="dxa"/>
            </w:tcMar>
            <w:vAlign w:val="center"/>
          </w:tcPr>
          <w:p w14:paraId="3B0262EA" w14:textId="77777777" w:rsidR="009A454C" w:rsidRDefault="00000000">
            <w:pPr>
              <w:keepNext/>
              <w:keepLines/>
              <w:spacing w:after="0" w:line="240" w:lineRule="auto"/>
            </w:pPr>
            <w:r>
              <w:rPr>
                <w:sz w:val="18"/>
              </w:rPr>
              <w:t>31</w:t>
            </w:r>
          </w:p>
        </w:tc>
        <w:tc>
          <w:tcPr>
            <w:tcW w:w="3180" w:type="dxa"/>
            <w:tcMar>
              <w:top w:w="0" w:type="dxa"/>
              <w:bottom w:w="0" w:type="dxa"/>
            </w:tcMar>
            <w:vAlign w:val="center"/>
          </w:tcPr>
          <w:p w14:paraId="65996E5E" w14:textId="77777777" w:rsidR="009A454C"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A2BF14D" w14:textId="77777777" w:rsidR="009A454C" w:rsidRDefault="00000000">
            <w:pPr>
              <w:keepNext/>
              <w:keepLines/>
              <w:spacing w:after="0" w:line="240" w:lineRule="auto"/>
            </w:pPr>
            <w:r>
              <w:rPr>
                <w:sz w:val="18"/>
              </w:rPr>
              <w:t>31</w:t>
            </w:r>
          </w:p>
        </w:tc>
        <w:tc>
          <w:tcPr>
            <w:tcW w:w="1860" w:type="dxa"/>
            <w:tcMar>
              <w:top w:w="0" w:type="dxa"/>
              <w:bottom w:w="0" w:type="dxa"/>
            </w:tcMar>
            <w:vAlign w:val="center"/>
          </w:tcPr>
          <w:p w14:paraId="12D4F90F" w14:textId="77777777" w:rsidR="009A454C" w:rsidRDefault="00000000">
            <w:pPr>
              <w:keepNext/>
              <w:keepLines/>
              <w:spacing w:after="0" w:line="240" w:lineRule="auto"/>
              <w:jc w:val="right"/>
            </w:pPr>
            <w:r>
              <w:rPr>
                <w:sz w:val="18"/>
              </w:rPr>
              <w:t>457.648,71</w:t>
            </w:r>
          </w:p>
        </w:tc>
        <w:tc>
          <w:tcPr>
            <w:tcW w:w="1860" w:type="dxa"/>
            <w:tcMar>
              <w:top w:w="0" w:type="dxa"/>
              <w:bottom w:w="0" w:type="dxa"/>
            </w:tcMar>
            <w:vAlign w:val="center"/>
          </w:tcPr>
          <w:p w14:paraId="0F635F03" w14:textId="77777777" w:rsidR="009A454C" w:rsidRDefault="00000000">
            <w:pPr>
              <w:keepNext/>
              <w:keepLines/>
              <w:spacing w:after="0" w:line="240" w:lineRule="auto"/>
              <w:jc w:val="right"/>
            </w:pPr>
            <w:r>
              <w:rPr>
                <w:sz w:val="18"/>
              </w:rPr>
              <w:t>354.005,69</w:t>
            </w:r>
          </w:p>
        </w:tc>
        <w:tc>
          <w:tcPr>
            <w:tcW w:w="700" w:type="dxa"/>
            <w:tcMar>
              <w:top w:w="0" w:type="dxa"/>
              <w:bottom w:w="0" w:type="dxa"/>
            </w:tcMar>
            <w:vAlign w:val="center"/>
          </w:tcPr>
          <w:p w14:paraId="7240B028" w14:textId="77777777" w:rsidR="009A454C" w:rsidRDefault="00000000">
            <w:pPr>
              <w:keepNext/>
              <w:keepLines/>
              <w:spacing w:after="0" w:line="240" w:lineRule="auto"/>
              <w:jc w:val="right"/>
            </w:pPr>
            <w:r>
              <w:rPr>
                <w:sz w:val="18"/>
              </w:rPr>
              <w:t>77,4</w:t>
            </w:r>
          </w:p>
        </w:tc>
      </w:tr>
    </w:tbl>
    <w:p w14:paraId="082D2341" w14:textId="77777777" w:rsidR="009A454C" w:rsidRDefault="009A454C">
      <w:pPr>
        <w:spacing w:after="0"/>
      </w:pPr>
    </w:p>
    <w:p w14:paraId="46AE2504" w14:textId="77777777" w:rsidR="009A454C" w:rsidRDefault="00000000">
      <w:r>
        <w:t>Na skupini 31 evidentirani su rashodi za zaposlene u vrijednosti od 354.005,69 eura što je za 22,6 % manje u usporedbi s istim razdobljem prethodne godine. Na iskazanu vrijednost u najvećoj mjeri utjecalo je evidentiranje tri rashoda za zaposlene u prvom tromjesečju 2026. godine dok su se u istom razdoblju prethodne godine zbog ukidanja kontinuiranih rashoda (podskupina 193) knjižila četiri rashoda za zaposlene.    </w:t>
      </w:r>
    </w:p>
    <w:p w14:paraId="21CEF155" w14:textId="77777777" w:rsidR="009A454C" w:rsidRDefault="009A454C"/>
    <w:p w14:paraId="1B0D0C6B" w14:textId="77777777" w:rsidR="009A454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43FED0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A223BC"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41CC5A"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93F23"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07DC2A"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95DE73"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83952E" w14:textId="77777777" w:rsidR="009A454C" w:rsidRDefault="00000000">
            <w:pPr>
              <w:keepNext/>
              <w:keepLines/>
              <w:spacing w:after="0" w:line="240" w:lineRule="auto"/>
              <w:jc w:val="center"/>
            </w:pPr>
            <w:r>
              <w:rPr>
                <w:b/>
                <w:sz w:val="18"/>
              </w:rPr>
              <w:t>Indeks (%)</w:t>
            </w:r>
          </w:p>
        </w:tc>
      </w:tr>
      <w:tr w:rsidR="009A454C" w14:paraId="3C8F34E9" w14:textId="77777777">
        <w:tblPrEx>
          <w:tblCellMar>
            <w:top w:w="0" w:type="dxa"/>
            <w:bottom w:w="0" w:type="dxa"/>
          </w:tblCellMar>
        </w:tblPrEx>
        <w:trPr>
          <w:cantSplit/>
          <w:trHeight w:val="560"/>
        </w:trPr>
        <w:tc>
          <w:tcPr>
            <w:tcW w:w="700" w:type="dxa"/>
            <w:tcMar>
              <w:top w:w="0" w:type="dxa"/>
              <w:bottom w:w="0" w:type="dxa"/>
            </w:tcMar>
            <w:vAlign w:val="center"/>
          </w:tcPr>
          <w:p w14:paraId="218E5005" w14:textId="77777777" w:rsidR="009A454C" w:rsidRDefault="00000000">
            <w:pPr>
              <w:keepNext/>
              <w:keepLines/>
              <w:spacing w:after="0" w:line="240" w:lineRule="auto"/>
            </w:pPr>
            <w:r>
              <w:rPr>
                <w:sz w:val="18"/>
              </w:rPr>
              <w:t>32</w:t>
            </w:r>
          </w:p>
        </w:tc>
        <w:tc>
          <w:tcPr>
            <w:tcW w:w="3180" w:type="dxa"/>
            <w:tcMar>
              <w:top w:w="0" w:type="dxa"/>
              <w:bottom w:w="0" w:type="dxa"/>
            </w:tcMar>
            <w:vAlign w:val="center"/>
          </w:tcPr>
          <w:p w14:paraId="6BA09DAA" w14:textId="77777777" w:rsidR="009A454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0BCD7866" w14:textId="77777777" w:rsidR="009A454C" w:rsidRDefault="00000000">
            <w:pPr>
              <w:keepNext/>
              <w:keepLines/>
              <w:spacing w:after="0" w:line="240" w:lineRule="auto"/>
            </w:pPr>
            <w:r>
              <w:rPr>
                <w:sz w:val="18"/>
              </w:rPr>
              <w:t>32</w:t>
            </w:r>
          </w:p>
        </w:tc>
        <w:tc>
          <w:tcPr>
            <w:tcW w:w="1860" w:type="dxa"/>
            <w:tcMar>
              <w:top w:w="0" w:type="dxa"/>
              <w:bottom w:w="0" w:type="dxa"/>
            </w:tcMar>
            <w:vAlign w:val="center"/>
          </w:tcPr>
          <w:p w14:paraId="64909B6C" w14:textId="77777777" w:rsidR="009A454C" w:rsidRDefault="00000000">
            <w:pPr>
              <w:keepNext/>
              <w:keepLines/>
              <w:spacing w:after="0" w:line="240" w:lineRule="auto"/>
              <w:jc w:val="right"/>
            </w:pPr>
            <w:r>
              <w:rPr>
                <w:sz w:val="18"/>
              </w:rPr>
              <w:t>132.620,68</w:t>
            </w:r>
          </w:p>
        </w:tc>
        <w:tc>
          <w:tcPr>
            <w:tcW w:w="1860" w:type="dxa"/>
            <w:tcMar>
              <w:top w:w="0" w:type="dxa"/>
              <w:bottom w:w="0" w:type="dxa"/>
            </w:tcMar>
            <w:vAlign w:val="center"/>
          </w:tcPr>
          <w:p w14:paraId="1AA76B2F" w14:textId="77777777" w:rsidR="009A454C" w:rsidRDefault="00000000">
            <w:pPr>
              <w:keepNext/>
              <w:keepLines/>
              <w:spacing w:after="0" w:line="240" w:lineRule="auto"/>
              <w:jc w:val="right"/>
            </w:pPr>
            <w:r>
              <w:rPr>
                <w:sz w:val="18"/>
              </w:rPr>
              <w:t>131.697,40</w:t>
            </w:r>
          </w:p>
        </w:tc>
        <w:tc>
          <w:tcPr>
            <w:tcW w:w="700" w:type="dxa"/>
            <w:tcMar>
              <w:top w:w="0" w:type="dxa"/>
              <w:bottom w:w="0" w:type="dxa"/>
            </w:tcMar>
            <w:vAlign w:val="center"/>
          </w:tcPr>
          <w:p w14:paraId="23C7A199" w14:textId="77777777" w:rsidR="009A454C" w:rsidRDefault="00000000">
            <w:pPr>
              <w:keepNext/>
              <w:keepLines/>
              <w:spacing w:after="0" w:line="240" w:lineRule="auto"/>
              <w:jc w:val="right"/>
            </w:pPr>
            <w:r>
              <w:rPr>
                <w:sz w:val="18"/>
              </w:rPr>
              <w:t>99,3</w:t>
            </w:r>
          </w:p>
        </w:tc>
      </w:tr>
    </w:tbl>
    <w:p w14:paraId="5CEDAFAD" w14:textId="77777777" w:rsidR="009A454C" w:rsidRDefault="009A454C">
      <w:pPr>
        <w:spacing w:after="0"/>
      </w:pPr>
    </w:p>
    <w:p w14:paraId="2579624E" w14:textId="77777777" w:rsidR="009A454C" w:rsidRDefault="00000000">
      <w:r>
        <w:t>Na skupini 32 iskazani su materijalni rashodi u iznosu od 131.697,40 eura što je za 0,7 % manje u odnosu na prvo tromjesečje 2025. godine.</w:t>
      </w:r>
    </w:p>
    <w:p w14:paraId="3CBD17BD" w14:textId="77777777" w:rsidR="009A454C" w:rsidRDefault="00000000">
      <w:r>
        <w:t>U okviru materijalnih rashoda značajnija odstupanja (povećanja) u odnosu na isto promatrano razdoblje prethodne godine imaju:</w:t>
      </w:r>
    </w:p>
    <w:p w14:paraId="3D44797D" w14:textId="77777777" w:rsidR="009A454C" w:rsidRDefault="00000000">
      <w:r>
        <w:t xml:space="preserve">-          Sitni inventar i </w:t>
      </w:r>
      <w:proofErr w:type="spellStart"/>
      <w:r>
        <w:t>autogume</w:t>
      </w:r>
      <w:proofErr w:type="spellEnd"/>
      <w:r>
        <w:t xml:space="preserve"> u većoj mjeri zbog realizirane jednostavne nabave medicinskih madraca (donacija ZU Ljekarna Jadran Rijeka),</w:t>
      </w:r>
    </w:p>
    <w:p w14:paraId="06F5835C" w14:textId="77777777" w:rsidR="009A454C" w:rsidRDefault="00000000">
      <w:r>
        <w:t>-          Zakupnine i najamnine zbog najma fotokopirnog uređaja,</w:t>
      </w:r>
    </w:p>
    <w:p w14:paraId="13BD16D3" w14:textId="77777777" w:rsidR="009A454C" w:rsidRDefault="00000000">
      <w:r>
        <w:t>-          Računalne usluge u najvećoj mjeri zbog sklapanja novog ugovora o nabavi usluge Održavanje računalne opreme i računalne mreže (prelazak na Office 365), novog ugovora o nabavci sustava za upravljanje dokumentima (urudžbeni zapisnik) te povećanja cijena ostalih računalnih usluga.</w:t>
      </w:r>
    </w:p>
    <w:p w14:paraId="58214B2F" w14:textId="77777777" w:rsidR="009A454C" w:rsidRDefault="009A454C"/>
    <w:p w14:paraId="104E1C33" w14:textId="77777777" w:rsidR="009A454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091FC2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9C8701"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F3E6DC"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EC7A48"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C1FBC"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FA2147"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DB5A30" w14:textId="77777777" w:rsidR="009A454C" w:rsidRDefault="00000000">
            <w:pPr>
              <w:keepNext/>
              <w:keepLines/>
              <w:spacing w:after="0" w:line="240" w:lineRule="auto"/>
              <w:jc w:val="center"/>
            </w:pPr>
            <w:r>
              <w:rPr>
                <w:b/>
                <w:sz w:val="18"/>
              </w:rPr>
              <w:t>Indeks (%)</w:t>
            </w:r>
          </w:p>
        </w:tc>
      </w:tr>
      <w:tr w:rsidR="009A454C" w14:paraId="6DBCE5D8" w14:textId="77777777">
        <w:tblPrEx>
          <w:tblCellMar>
            <w:top w:w="0" w:type="dxa"/>
            <w:bottom w:w="0" w:type="dxa"/>
          </w:tblCellMar>
        </w:tblPrEx>
        <w:trPr>
          <w:cantSplit/>
          <w:trHeight w:val="560"/>
        </w:trPr>
        <w:tc>
          <w:tcPr>
            <w:tcW w:w="700" w:type="dxa"/>
            <w:tcMar>
              <w:top w:w="0" w:type="dxa"/>
              <w:bottom w:w="0" w:type="dxa"/>
            </w:tcMar>
            <w:vAlign w:val="center"/>
          </w:tcPr>
          <w:p w14:paraId="2276556A" w14:textId="77777777" w:rsidR="009A454C" w:rsidRDefault="00000000">
            <w:pPr>
              <w:keepNext/>
              <w:keepLines/>
              <w:spacing w:after="0" w:line="240" w:lineRule="auto"/>
            </w:pPr>
            <w:r>
              <w:rPr>
                <w:sz w:val="18"/>
              </w:rPr>
              <w:t>34</w:t>
            </w:r>
          </w:p>
        </w:tc>
        <w:tc>
          <w:tcPr>
            <w:tcW w:w="3180" w:type="dxa"/>
            <w:tcMar>
              <w:top w:w="0" w:type="dxa"/>
              <w:bottom w:w="0" w:type="dxa"/>
            </w:tcMar>
            <w:vAlign w:val="center"/>
          </w:tcPr>
          <w:p w14:paraId="30B788F8" w14:textId="77777777" w:rsidR="009A454C"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C0E542F" w14:textId="77777777" w:rsidR="009A454C" w:rsidRDefault="00000000">
            <w:pPr>
              <w:keepNext/>
              <w:keepLines/>
              <w:spacing w:after="0" w:line="240" w:lineRule="auto"/>
            </w:pPr>
            <w:r>
              <w:rPr>
                <w:sz w:val="18"/>
              </w:rPr>
              <w:t>34</w:t>
            </w:r>
          </w:p>
        </w:tc>
        <w:tc>
          <w:tcPr>
            <w:tcW w:w="1860" w:type="dxa"/>
            <w:tcMar>
              <w:top w:w="0" w:type="dxa"/>
              <w:bottom w:w="0" w:type="dxa"/>
            </w:tcMar>
            <w:vAlign w:val="center"/>
          </w:tcPr>
          <w:p w14:paraId="1CC04A7F" w14:textId="77777777" w:rsidR="009A454C" w:rsidRDefault="00000000">
            <w:pPr>
              <w:keepNext/>
              <w:keepLines/>
              <w:spacing w:after="0" w:line="240" w:lineRule="auto"/>
              <w:jc w:val="right"/>
            </w:pPr>
            <w:r>
              <w:rPr>
                <w:sz w:val="18"/>
              </w:rPr>
              <w:t>125,37</w:t>
            </w:r>
          </w:p>
        </w:tc>
        <w:tc>
          <w:tcPr>
            <w:tcW w:w="1860" w:type="dxa"/>
            <w:tcMar>
              <w:top w:w="0" w:type="dxa"/>
              <w:bottom w:w="0" w:type="dxa"/>
            </w:tcMar>
            <w:vAlign w:val="center"/>
          </w:tcPr>
          <w:p w14:paraId="17F69F30" w14:textId="77777777" w:rsidR="009A454C" w:rsidRDefault="00000000">
            <w:pPr>
              <w:keepNext/>
              <w:keepLines/>
              <w:spacing w:after="0" w:line="240" w:lineRule="auto"/>
              <w:jc w:val="right"/>
            </w:pPr>
            <w:r>
              <w:rPr>
                <w:sz w:val="18"/>
              </w:rPr>
              <w:t>83,76</w:t>
            </w:r>
          </w:p>
        </w:tc>
        <w:tc>
          <w:tcPr>
            <w:tcW w:w="700" w:type="dxa"/>
            <w:tcMar>
              <w:top w:w="0" w:type="dxa"/>
              <w:bottom w:w="0" w:type="dxa"/>
            </w:tcMar>
            <w:vAlign w:val="center"/>
          </w:tcPr>
          <w:p w14:paraId="6B45BEFD" w14:textId="77777777" w:rsidR="009A454C" w:rsidRDefault="00000000">
            <w:pPr>
              <w:keepNext/>
              <w:keepLines/>
              <w:spacing w:after="0" w:line="240" w:lineRule="auto"/>
              <w:jc w:val="right"/>
            </w:pPr>
            <w:r>
              <w:rPr>
                <w:sz w:val="18"/>
              </w:rPr>
              <w:t>66,8</w:t>
            </w:r>
          </w:p>
        </w:tc>
      </w:tr>
    </w:tbl>
    <w:p w14:paraId="02CA8C14" w14:textId="77777777" w:rsidR="009A454C" w:rsidRDefault="009A454C">
      <w:pPr>
        <w:spacing w:after="0"/>
      </w:pPr>
    </w:p>
    <w:p w14:paraId="2F6C9171" w14:textId="77777777" w:rsidR="009A454C" w:rsidRDefault="00000000">
      <w:r>
        <w:t>Na skupini 34 prikazani su financijski rashodi u iznosu od 83,76 eura što je za 33,2 % manje u odnosu na prvo tromjesečje 2025. godine zbog smanjenja rashoda za bankarske usluge i usluge platnog prometa (prelazak na jedinstveni račun proračuna).</w:t>
      </w:r>
    </w:p>
    <w:p w14:paraId="73145C0A" w14:textId="77777777" w:rsidR="009A454C" w:rsidRDefault="009A454C"/>
    <w:p w14:paraId="6F1BE11E" w14:textId="77777777" w:rsidR="009A454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20A63A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9834E9"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28F9C"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C19A7"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310E89"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0762B3"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62716E" w14:textId="77777777" w:rsidR="009A454C" w:rsidRDefault="00000000">
            <w:pPr>
              <w:keepNext/>
              <w:keepLines/>
              <w:spacing w:after="0" w:line="240" w:lineRule="auto"/>
              <w:jc w:val="center"/>
            </w:pPr>
            <w:r>
              <w:rPr>
                <w:b/>
                <w:sz w:val="18"/>
              </w:rPr>
              <w:t>Indeks (%)</w:t>
            </w:r>
          </w:p>
        </w:tc>
      </w:tr>
      <w:tr w:rsidR="009A454C" w14:paraId="1F05EFE0" w14:textId="77777777">
        <w:tblPrEx>
          <w:tblCellMar>
            <w:top w:w="0" w:type="dxa"/>
            <w:bottom w:w="0" w:type="dxa"/>
          </w:tblCellMar>
        </w:tblPrEx>
        <w:trPr>
          <w:cantSplit/>
          <w:trHeight w:val="560"/>
        </w:trPr>
        <w:tc>
          <w:tcPr>
            <w:tcW w:w="700" w:type="dxa"/>
            <w:tcMar>
              <w:top w:w="0" w:type="dxa"/>
              <w:bottom w:w="0" w:type="dxa"/>
            </w:tcMar>
            <w:vAlign w:val="center"/>
          </w:tcPr>
          <w:p w14:paraId="242FE8F3" w14:textId="77777777" w:rsidR="009A454C" w:rsidRDefault="00000000">
            <w:pPr>
              <w:keepNext/>
              <w:keepLines/>
              <w:spacing w:after="0" w:line="240" w:lineRule="auto"/>
            </w:pPr>
            <w:r>
              <w:rPr>
                <w:sz w:val="18"/>
              </w:rPr>
              <w:t>37</w:t>
            </w:r>
          </w:p>
        </w:tc>
        <w:tc>
          <w:tcPr>
            <w:tcW w:w="3180" w:type="dxa"/>
            <w:tcMar>
              <w:top w:w="0" w:type="dxa"/>
              <w:bottom w:w="0" w:type="dxa"/>
            </w:tcMar>
            <w:vAlign w:val="center"/>
          </w:tcPr>
          <w:p w14:paraId="5D086AFF" w14:textId="77777777" w:rsidR="009A454C"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6FDA5BC" w14:textId="77777777" w:rsidR="009A454C" w:rsidRDefault="00000000">
            <w:pPr>
              <w:keepNext/>
              <w:keepLines/>
              <w:spacing w:after="0" w:line="240" w:lineRule="auto"/>
            </w:pPr>
            <w:r>
              <w:rPr>
                <w:sz w:val="18"/>
              </w:rPr>
              <w:t>37</w:t>
            </w:r>
          </w:p>
        </w:tc>
        <w:tc>
          <w:tcPr>
            <w:tcW w:w="1860" w:type="dxa"/>
            <w:tcMar>
              <w:top w:w="0" w:type="dxa"/>
              <w:bottom w:w="0" w:type="dxa"/>
            </w:tcMar>
            <w:vAlign w:val="center"/>
          </w:tcPr>
          <w:p w14:paraId="6BCBE2C1" w14:textId="77777777" w:rsidR="009A454C" w:rsidRDefault="00000000">
            <w:pPr>
              <w:keepNext/>
              <w:keepLines/>
              <w:spacing w:after="0" w:line="240" w:lineRule="auto"/>
              <w:jc w:val="right"/>
            </w:pPr>
            <w:r>
              <w:rPr>
                <w:sz w:val="18"/>
              </w:rPr>
              <w:t>1.046,26</w:t>
            </w:r>
          </w:p>
        </w:tc>
        <w:tc>
          <w:tcPr>
            <w:tcW w:w="1860" w:type="dxa"/>
            <w:tcMar>
              <w:top w:w="0" w:type="dxa"/>
              <w:bottom w:w="0" w:type="dxa"/>
            </w:tcMar>
            <w:vAlign w:val="center"/>
          </w:tcPr>
          <w:p w14:paraId="07C6EE91" w14:textId="77777777" w:rsidR="009A454C" w:rsidRDefault="00000000">
            <w:pPr>
              <w:keepNext/>
              <w:keepLines/>
              <w:spacing w:after="0" w:line="240" w:lineRule="auto"/>
              <w:jc w:val="right"/>
            </w:pPr>
            <w:r>
              <w:rPr>
                <w:sz w:val="18"/>
              </w:rPr>
              <w:t>1.408,53</w:t>
            </w:r>
          </w:p>
        </w:tc>
        <w:tc>
          <w:tcPr>
            <w:tcW w:w="700" w:type="dxa"/>
            <w:tcMar>
              <w:top w:w="0" w:type="dxa"/>
              <w:bottom w:w="0" w:type="dxa"/>
            </w:tcMar>
            <w:vAlign w:val="center"/>
          </w:tcPr>
          <w:p w14:paraId="75BAEC3E" w14:textId="77777777" w:rsidR="009A454C" w:rsidRDefault="00000000">
            <w:pPr>
              <w:keepNext/>
              <w:keepLines/>
              <w:spacing w:after="0" w:line="240" w:lineRule="auto"/>
              <w:jc w:val="right"/>
            </w:pPr>
            <w:r>
              <w:rPr>
                <w:sz w:val="18"/>
              </w:rPr>
              <w:t>134,6</w:t>
            </w:r>
          </w:p>
        </w:tc>
      </w:tr>
    </w:tbl>
    <w:p w14:paraId="41D026D6" w14:textId="77777777" w:rsidR="009A454C" w:rsidRDefault="009A454C">
      <w:pPr>
        <w:spacing w:after="0"/>
      </w:pPr>
    </w:p>
    <w:p w14:paraId="696EBE00" w14:textId="77777777" w:rsidR="009A454C" w:rsidRDefault="00000000">
      <w:r>
        <w:t>Na skupini 37 iskazane su naknade građanima u iznosu od 1.408,53 eura što je za 34,6 % više u odnosu na isto razdoblje 2025. godine. Na visinu navedenog iznosa utjecalo je povećanje iznosa osnovice na temelju koje se izračunava visina naknade (džeparca) u sustavu socijalne skrbi. Od siječnja 2026. godine osnovica za izračun naknade za osobne potrebe (džeparca) korisnicima socijalne skrbi iznosi 80,00 eura (iznos džeparca iznosi 40 eura mjesečno odnosno 50 % osnovice). Pokriće rashoda za džeparac osigurava Ministarstvo rada, mirovinskog sustava, obitelji i socijalne politike. </w:t>
      </w:r>
    </w:p>
    <w:p w14:paraId="587BF32B" w14:textId="77777777" w:rsidR="009A454C" w:rsidRDefault="009A454C"/>
    <w:p w14:paraId="262CAB6A" w14:textId="77777777" w:rsidR="009A454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01316A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B8BF7A"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96671D"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FE9B6C"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D80E8"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73C18"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792947" w14:textId="77777777" w:rsidR="009A454C" w:rsidRDefault="00000000">
            <w:pPr>
              <w:keepNext/>
              <w:keepLines/>
              <w:spacing w:after="0" w:line="240" w:lineRule="auto"/>
              <w:jc w:val="center"/>
            </w:pPr>
            <w:r>
              <w:rPr>
                <w:b/>
                <w:sz w:val="18"/>
              </w:rPr>
              <w:t>Indeks (%)</w:t>
            </w:r>
          </w:p>
        </w:tc>
      </w:tr>
      <w:tr w:rsidR="009A454C" w14:paraId="1CE24D0D" w14:textId="77777777">
        <w:tblPrEx>
          <w:tblCellMar>
            <w:top w:w="0" w:type="dxa"/>
            <w:bottom w:w="0" w:type="dxa"/>
          </w:tblCellMar>
        </w:tblPrEx>
        <w:trPr>
          <w:cantSplit/>
          <w:trHeight w:val="560"/>
        </w:trPr>
        <w:tc>
          <w:tcPr>
            <w:tcW w:w="700" w:type="dxa"/>
            <w:tcMar>
              <w:top w:w="0" w:type="dxa"/>
              <w:bottom w:w="0" w:type="dxa"/>
            </w:tcMar>
            <w:vAlign w:val="center"/>
          </w:tcPr>
          <w:p w14:paraId="5FC9C534" w14:textId="77777777" w:rsidR="009A454C" w:rsidRDefault="00000000">
            <w:pPr>
              <w:keepNext/>
              <w:keepLines/>
              <w:spacing w:after="0" w:line="240" w:lineRule="auto"/>
            </w:pPr>
            <w:r>
              <w:rPr>
                <w:sz w:val="18"/>
              </w:rPr>
              <w:t>4</w:t>
            </w:r>
          </w:p>
        </w:tc>
        <w:tc>
          <w:tcPr>
            <w:tcW w:w="3180" w:type="dxa"/>
            <w:tcMar>
              <w:top w:w="0" w:type="dxa"/>
              <w:bottom w:w="0" w:type="dxa"/>
            </w:tcMar>
            <w:vAlign w:val="center"/>
          </w:tcPr>
          <w:p w14:paraId="5A9F32CF" w14:textId="77777777" w:rsidR="009A454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86D091D" w14:textId="77777777" w:rsidR="009A454C" w:rsidRDefault="00000000">
            <w:pPr>
              <w:keepNext/>
              <w:keepLines/>
              <w:spacing w:after="0" w:line="240" w:lineRule="auto"/>
            </w:pPr>
            <w:r>
              <w:rPr>
                <w:sz w:val="18"/>
              </w:rPr>
              <w:t>4</w:t>
            </w:r>
          </w:p>
        </w:tc>
        <w:tc>
          <w:tcPr>
            <w:tcW w:w="1860" w:type="dxa"/>
            <w:tcMar>
              <w:top w:w="0" w:type="dxa"/>
              <w:bottom w:w="0" w:type="dxa"/>
            </w:tcMar>
            <w:vAlign w:val="center"/>
          </w:tcPr>
          <w:p w14:paraId="7A03762C" w14:textId="77777777" w:rsidR="009A454C" w:rsidRDefault="00000000">
            <w:pPr>
              <w:keepNext/>
              <w:keepLines/>
              <w:spacing w:after="0" w:line="240" w:lineRule="auto"/>
              <w:jc w:val="right"/>
            </w:pPr>
            <w:r>
              <w:rPr>
                <w:sz w:val="18"/>
              </w:rPr>
              <w:t>863,65</w:t>
            </w:r>
          </w:p>
        </w:tc>
        <w:tc>
          <w:tcPr>
            <w:tcW w:w="1860" w:type="dxa"/>
            <w:tcMar>
              <w:top w:w="0" w:type="dxa"/>
              <w:bottom w:w="0" w:type="dxa"/>
            </w:tcMar>
            <w:vAlign w:val="center"/>
          </w:tcPr>
          <w:p w14:paraId="71D9719D" w14:textId="77777777" w:rsidR="009A454C" w:rsidRDefault="00000000">
            <w:pPr>
              <w:keepNext/>
              <w:keepLines/>
              <w:spacing w:after="0" w:line="240" w:lineRule="auto"/>
              <w:jc w:val="right"/>
            </w:pPr>
            <w:r>
              <w:rPr>
                <w:sz w:val="18"/>
              </w:rPr>
              <w:t>5.058,84</w:t>
            </w:r>
          </w:p>
        </w:tc>
        <w:tc>
          <w:tcPr>
            <w:tcW w:w="700" w:type="dxa"/>
            <w:tcMar>
              <w:top w:w="0" w:type="dxa"/>
              <w:bottom w:w="0" w:type="dxa"/>
            </w:tcMar>
            <w:vAlign w:val="center"/>
          </w:tcPr>
          <w:p w14:paraId="3DE88926" w14:textId="77777777" w:rsidR="009A454C" w:rsidRDefault="00000000">
            <w:pPr>
              <w:keepNext/>
              <w:keepLines/>
              <w:spacing w:after="0" w:line="240" w:lineRule="auto"/>
              <w:jc w:val="right"/>
            </w:pPr>
            <w:r>
              <w:rPr>
                <w:sz w:val="18"/>
              </w:rPr>
              <w:t>585,8</w:t>
            </w:r>
          </w:p>
        </w:tc>
      </w:tr>
    </w:tbl>
    <w:p w14:paraId="30B2A1D2" w14:textId="77777777" w:rsidR="009A454C" w:rsidRDefault="009A454C">
      <w:pPr>
        <w:spacing w:after="0"/>
      </w:pPr>
    </w:p>
    <w:p w14:paraId="4FF6D4AC" w14:textId="77777777" w:rsidR="009A454C" w:rsidRDefault="00000000">
      <w:r>
        <w:t>Razred 4 obuhvaća rashode za nabavu nefinancijske imovine u iznosu od 5.058,84 eura što je za 485,8 % više u odnosu na isto razdoblje prethodne godine, a odnosi se na realiziranu jednostavnu nabavu perilice posuđa (donacija ZU Ljekarna Jadran Rijeka) i na nabavu televizora.</w:t>
      </w:r>
    </w:p>
    <w:p w14:paraId="4B49AD17" w14:textId="77777777" w:rsidR="009A454C" w:rsidRDefault="009A454C"/>
    <w:p w14:paraId="648226B1" w14:textId="77777777" w:rsidR="009A454C"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40F4E2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33E3F"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47F0F2"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F349B5"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5F7DC4"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68C051"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A69D80" w14:textId="77777777" w:rsidR="009A454C" w:rsidRDefault="00000000">
            <w:pPr>
              <w:keepNext/>
              <w:keepLines/>
              <w:spacing w:after="0" w:line="240" w:lineRule="auto"/>
              <w:jc w:val="center"/>
            </w:pPr>
            <w:r>
              <w:rPr>
                <w:b/>
                <w:sz w:val="18"/>
              </w:rPr>
              <w:t>Indeks (%)</w:t>
            </w:r>
          </w:p>
        </w:tc>
      </w:tr>
      <w:tr w:rsidR="009A454C" w14:paraId="7EB2A1ED" w14:textId="77777777">
        <w:tblPrEx>
          <w:tblCellMar>
            <w:top w:w="0" w:type="dxa"/>
            <w:bottom w:w="0" w:type="dxa"/>
          </w:tblCellMar>
        </w:tblPrEx>
        <w:trPr>
          <w:cantSplit/>
          <w:trHeight w:val="560"/>
        </w:trPr>
        <w:tc>
          <w:tcPr>
            <w:tcW w:w="700" w:type="dxa"/>
            <w:tcMar>
              <w:top w:w="0" w:type="dxa"/>
              <w:bottom w:w="0" w:type="dxa"/>
            </w:tcMar>
            <w:vAlign w:val="center"/>
          </w:tcPr>
          <w:p w14:paraId="0D96F9A0" w14:textId="77777777" w:rsidR="009A454C" w:rsidRDefault="009A454C">
            <w:pPr>
              <w:keepNext/>
              <w:keepLines/>
              <w:spacing w:after="0" w:line="240" w:lineRule="auto"/>
            </w:pPr>
          </w:p>
        </w:tc>
        <w:tc>
          <w:tcPr>
            <w:tcW w:w="3180" w:type="dxa"/>
            <w:tcMar>
              <w:top w:w="0" w:type="dxa"/>
              <w:bottom w:w="0" w:type="dxa"/>
            </w:tcMar>
            <w:vAlign w:val="center"/>
          </w:tcPr>
          <w:p w14:paraId="73F337F4" w14:textId="77777777" w:rsidR="009A454C"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54B67AC2" w14:textId="77777777" w:rsidR="009A454C" w:rsidRDefault="00000000">
            <w:pPr>
              <w:keepNext/>
              <w:keepLines/>
              <w:spacing w:after="0" w:line="240" w:lineRule="auto"/>
            </w:pPr>
            <w:r>
              <w:rPr>
                <w:sz w:val="18"/>
              </w:rPr>
              <w:t>X006</w:t>
            </w:r>
          </w:p>
        </w:tc>
        <w:tc>
          <w:tcPr>
            <w:tcW w:w="1860" w:type="dxa"/>
            <w:tcMar>
              <w:top w:w="0" w:type="dxa"/>
              <w:bottom w:w="0" w:type="dxa"/>
            </w:tcMar>
            <w:vAlign w:val="center"/>
          </w:tcPr>
          <w:p w14:paraId="77904CB3" w14:textId="77777777" w:rsidR="009A454C" w:rsidRDefault="00000000">
            <w:pPr>
              <w:keepNext/>
              <w:keepLines/>
              <w:spacing w:after="0" w:line="240" w:lineRule="auto"/>
              <w:jc w:val="right"/>
            </w:pPr>
            <w:r>
              <w:rPr>
                <w:sz w:val="18"/>
              </w:rPr>
              <w:t>0,00</w:t>
            </w:r>
          </w:p>
        </w:tc>
        <w:tc>
          <w:tcPr>
            <w:tcW w:w="1860" w:type="dxa"/>
            <w:tcMar>
              <w:top w:w="0" w:type="dxa"/>
              <w:bottom w:w="0" w:type="dxa"/>
            </w:tcMar>
            <w:vAlign w:val="center"/>
          </w:tcPr>
          <w:p w14:paraId="75DB6244" w14:textId="77777777" w:rsidR="009A454C" w:rsidRDefault="00000000">
            <w:pPr>
              <w:keepNext/>
              <w:keepLines/>
              <w:spacing w:after="0" w:line="240" w:lineRule="auto"/>
              <w:jc w:val="right"/>
            </w:pPr>
            <w:r>
              <w:rPr>
                <w:sz w:val="18"/>
              </w:rPr>
              <w:t>8.832,67</w:t>
            </w:r>
          </w:p>
        </w:tc>
        <w:tc>
          <w:tcPr>
            <w:tcW w:w="700" w:type="dxa"/>
            <w:tcMar>
              <w:top w:w="0" w:type="dxa"/>
              <w:bottom w:w="0" w:type="dxa"/>
            </w:tcMar>
            <w:vAlign w:val="center"/>
          </w:tcPr>
          <w:p w14:paraId="7C55B2A0" w14:textId="77777777" w:rsidR="009A454C" w:rsidRDefault="00000000">
            <w:pPr>
              <w:keepNext/>
              <w:keepLines/>
              <w:spacing w:after="0" w:line="240" w:lineRule="auto"/>
              <w:jc w:val="right"/>
            </w:pPr>
            <w:r>
              <w:rPr>
                <w:sz w:val="18"/>
              </w:rPr>
              <w:t>-</w:t>
            </w:r>
          </w:p>
        </w:tc>
      </w:tr>
    </w:tbl>
    <w:p w14:paraId="25FB0067" w14:textId="77777777" w:rsidR="009A454C" w:rsidRDefault="009A454C">
      <w:pPr>
        <w:spacing w:after="0"/>
      </w:pPr>
    </w:p>
    <w:p w14:paraId="294B3A46" w14:textId="77777777" w:rsidR="009A454C" w:rsidRDefault="00000000">
      <w:r>
        <w:t>Sučeljavanje ostvarenog manjka prihoda i primitaka u iznosu od 32.033,28 eura s prenesenim viškom prihoda i primitaka iz 2025. godine u iznosu od 40.865,95 eura rezultira viškom prihoda i primitaka raspoloživim u sljedećem razdoblju u iznosu od 8.832,67 eura. </w:t>
      </w:r>
    </w:p>
    <w:p w14:paraId="46075483" w14:textId="77777777" w:rsidR="009A454C" w:rsidRDefault="009A454C"/>
    <w:p w14:paraId="22421190" w14:textId="77777777" w:rsidR="009A454C"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A454C" w14:paraId="57972B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A89156" w14:textId="77777777" w:rsidR="009A454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DC69C7" w14:textId="77777777" w:rsidR="009A454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D2F9D1" w14:textId="77777777" w:rsidR="009A454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C6B0F3" w14:textId="77777777" w:rsidR="009A454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F34F2" w14:textId="77777777" w:rsidR="009A454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1ED326" w14:textId="77777777" w:rsidR="009A454C" w:rsidRDefault="00000000">
            <w:pPr>
              <w:keepNext/>
              <w:keepLines/>
              <w:spacing w:after="0" w:line="240" w:lineRule="auto"/>
              <w:jc w:val="center"/>
            </w:pPr>
            <w:r>
              <w:rPr>
                <w:b/>
                <w:sz w:val="18"/>
              </w:rPr>
              <w:t>Indeks (%)</w:t>
            </w:r>
          </w:p>
        </w:tc>
      </w:tr>
      <w:tr w:rsidR="009A454C" w14:paraId="6A68608D" w14:textId="77777777">
        <w:tblPrEx>
          <w:tblCellMar>
            <w:top w:w="0" w:type="dxa"/>
            <w:bottom w:w="0" w:type="dxa"/>
          </w:tblCellMar>
        </w:tblPrEx>
        <w:trPr>
          <w:cantSplit/>
          <w:trHeight w:val="560"/>
        </w:trPr>
        <w:tc>
          <w:tcPr>
            <w:tcW w:w="700" w:type="dxa"/>
            <w:tcMar>
              <w:top w:w="0" w:type="dxa"/>
              <w:bottom w:w="0" w:type="dxa"/>
            </w:tcMar>
            <w:vAlign w:val="center"/>
          </w:tcPr>
          <w:p w14:paraId="5D62226A" w14:textId="77777777" w:rsidR="009A454C" w:rsidRDefault="00000000">
            <w:pPr>
              <w:keepNext/>
              <w:keepLines/>
              <w:spacing w:after="0" w:line="240" w:lineRule="auto"/>
            </w:pPr>
            <w:r>
              <w:rPr>
                <w:sz w:val="18"/>
              </w:rPr>
              <w:t>11</w:t>
            </w:r>
          </w:p>
        </w:tc>
        <w:tc>
          <w:tcPr>
            <w:tcW w:w="3180" w:type="dxa"/>
            <w:tcMar>
              <w:top w:w="0" w:type="dxa"/>
              <w:bottom w:w="0" w:type="dxa"/>
            </w:tcMar>
            <w:vAlign w:val="center"/>
          </w:tcPr>
          <w:p w14:paraId="18CF2E40" w14:textId="77777777" w:rsidR="009A454C"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5F2E1CBF" w14:textId="77777777" w:rsidR="009A454C" w:rsidRDefault="00000000">
            <w:pPr>
              <w:keepNext/>
              <w:keepLines/>
              <w:spacing w:after="0" w:line="240" w:lineRule="auto"/>
            </w:pPr>
            <w:r>
              <w:rPr>
                <w:sz w:val="18"/>
              </w:rPr>
              <w:t>11K</w:t>
            </w:r>
          </w:p>
        </w:tc>
        <w:tc>
          <w:tcPr>
            <w:tcW w:w="1860" w:type="dxa"/>
            <w:tcMar>
              <w:top w:w="0" w:type="dxa"/>
              <w:bottom w:w="0" w:type="dxa"/>
            </w:tcMar>
            <w:vAlign w:val="center"/>
          </w:tcPr>
          <w:p w14:paraId="0711C0E1" w14:textId="77777777" w:rsidR="009A454C" w:rsidRDefault="00000000">
            <w:pPr>
              <w:keepNext/>
              <w:keepLines/>
              <w:spacing w:after="0" w:line="240" w:lineRule="auto"/>
              <w:jc w:val="right"/>
            </w:pPr>
            <w:r>
              <w:rPr>
                <w:sz w:val="18"/>
              </w:rPr>
              <w:t>30.081,79</w:t>
            </w:r>
          </w:p>
        </w:tc>
        <w:tc>
          <w:tcPr>
            <w:tcW w:w="1860" w:type="dxa"/>
            <w:tcMar>
              <w:top w:w="0" w:type="dxa"/>
              <w:bottom w:w="0" w:type="dxa"/>
            </w:tcMar>
            <w:vAlign w:val="center"/>
          </w:tcPr>
          <w:p w14:paraId="4F212405" w14:textId="77777777" w:rsidR="009A454C" w:rsidRDefault="00000000">
            <w:pPr>
              <w:keepNext/>
              <w:keepLines/>
              <w:spacing w:after="0" w:line="240" w:lineRule="auto"/>
              <w:jc w:val="right"/>
            </w:pPr>
            <w:r>
              <w:rPr>
                <w:sz w:val="18"/>
              </w:rPr>
              <w:t>649,21</w:t>
            </w:r>
          </w:p>
        </w:tc>
        <w:tc>
          <w:tcPr>
            <w:tcW w:w="700" w:type="dxa"/>
            <w:tcMar>
              <w:top w:w="0" w:type="dxa"/>
              <w:bottom w:w="0" w:type="dxa"/>
            </w:tcMar>
            <w:vAlign w:val="center"/>
          </w:tcPr>
          <w:p w14:paraId="456FBB11" w14:textId="77777777" w:rsidR="009A454C" w:rsidRDefault="00000000">
            <w:pPr>
              <w:keepNext/>
              <w:keepLines/>
              <w:spacing w:after="0" w:line="240" w:lineRule="auto"/>
              <w:jc w:val="right"/>
            </w:pPr>
            <w:r>
              <w:rPr>
                <w:sz w:val="18"/>
              </w:rPr>
              <w:t>2,2</w:t>
            </w:r>
          </w:p>
        </w:tc>
      </w:tr>
    </w:tbl>
    <w:p w14:paraId="414CF836" w14:textId="77777777" w:rsidR="009A454C" w:rsidRDefault="009A454C">
      <w:pPr>
        <w:spacing w:after="0"/>
      </w:pPr>
    </w:p>
    <w:p w14:paraId="40DAF42D" w14:textId="77777777" w:rsidR="009A454C" w:rsidRDefault="00000000">
      <w:r>
        <w:t>Na šifri 11 K iskazano stanje novčanih sredstava na kraju izvještajnog razdoblja iznosi 649,21 eura što je za 97,8 % manje u odnosu na isto razdoblje prethodne godine, a prikazuje stanje novčanih sredstava u blagajni Doma „Volosko“.</w:t>
      </w:r>
    </w:p>
    <w:p w14:paraId="2AD643E8" w14:textId="77777777" w:rsidR="009A454C" w:rsidRDefault="009A454C"/>
    <w:sectPr w:rsidR="009A4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4C"/>
    <w:rsid w:val="000561C0"/>
    <w:rsid w:val="00257E62"/>
    <w:rsid w:val="009A45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68E5"/>
  <w15:docId w15:val="{E0102884-DB1B-4456-B227-ABB2535B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Dombrovski</dc:creator>
  <cp:lastModifiedBy>Sanja Dombrovski</cp:lastModifiedBy>
  <cp:revision>2</cp:revision>
  <cp:lastPrinted>2026-04-15T09:30:00Z</cp:lastPrinted>
  <dcterms:created xsi:type="dcterms:W3CDTF">2026-04-15T09:54:00Z</dcterms:created>
  <dcterms:modified xsi:type="dcterms:W3CDTF">2026-04-15T09:54:00Z</dcterms:modified>
</cp:coreProperties>
</file>