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adf2d64de44b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7737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DOM ZA STARIJE OSOBE VOLOSKO OPATIJA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1.032.707,03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1.085.411,45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1.099.666,11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980.592,49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104.818,96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55.596,13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55.596,13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6.793,84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98.025,12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1.siječnja do 30.lipnja 2026.godine ostvareni su ukupni prihodi u iznosu od 1.085.411,45 eur dok su ukupni rashodi ostvareni u iznosu od 980.592,49 eur. Iz poslovanja je ostvareni višak prihoda poslovanja u iznosu od 104.818,96 eur dok je za nefinancijsku imovinu ostvaren manjak od prihoda  u iznosu od 98.025,12 eur.</w:t>
      </w:r>
    </w:p>
    <w:p>
      <w:r>
        <w:t xml:space="preserve">Financijsko poslovanje tijekom izvještajnog razdoblja odvijalo se u skladu sa Financijskim planom i važećim propisima uz osiguravanje redovitog obavljanja djelatnosti ustanove te uredno podmirivanje preuzetih obveza. 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1.032.707,03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1.085.411,45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105,1</w:t>
            </w:r>
          </w:p>
        </w:tc>
      </w:tr>
    </w:tbl>
    <w:p>
      <w:pPr>
        <w:spacing w:before="0" w:after="0"/>
      </w:pPr>
    </w:p>
    <w:p>
      <w:r>
        <w:t xml:space="preserve">Polugodišnjim izvještajem o izvršenju Financijskog plana Doma za starije osobe „Volosko“ Opatija za 2026. godinu utvrđeni su ostvareni ukupni prihodi u vrijednosti od 1.085.411,45 eura što je 56,55% od planiranog izvornog plana  i 5,1 % više u odnosu na isto obračunsko razdoblje 06-2025. Srazmjer u većim prihodima u tekućem obračunskom razdoblju s obziroma na isto razdoblje protekle godine proizlazi iz neujednačenog povlačenja sredstava za plaće  sa županijskog izvora 4441 i izvora ministarstva 4441 te je stoga više sredstava na kontu plaća ostalo na vlastitom izvoru 431201 . Do kraja tekuće godine će izvori biti iznivelirani jer će se povući i sa vlastitog izvora.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Iskazani iznos odnosi se na tekuću pomoć proračuna koji nam nije nadležan, tj. ostvarili smo financijsku podršku za smanjenje utjecaja porasta cijena energenata, a temeljem provedbe Javnog poziva od strane MRMSOSP. Ista je započela u travnju 2022.g., a produžena je do daljnjega.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sredstva financirana od državnog proračuna za sufinanciranje energenta elekt.energije je ostvareno 100%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sredstva financirana od državnog proračuna za sufinanciranje energenta elekt.energije je ostvareno 100%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86,5</w:t>
            </w:r>
          </w:p>
        </w:tc>
      </w:tr>
    </w:tbl>
    <w:p>
      <w:pPr>
        <w:spacing w:before="0" w:after="0"/>
      </w:pPr>
    </w:p>
    <w:p>
      <w:r>
        <w:t xml:space="preserve">Pripis kamate  je ostvaren u tekućem obračunskom razdoblju  od 11,62 eur  što je  manje od prethodnog obrač.razdoblja koje  iznosi 13,43 te indeks iznosi 86,5.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financijske imovine (šifre 6412 do 6419)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86,5</w:t>
            </w:r>
          </w:p>
        </w:tc>
      </w:tr>
    </w:tbl>
    <w:p>
      <w:pPr>
        <w:spacing w:before="0" w:after="0"/>
      </w:pPr>
    </w:p>
    <w:p>
      <w:r>
        <w:t xml:space="preserve">Pripis kamate  je ostvaren u tekućem obračunskom razdoblju  od 11,62 eur  što je  manje od prethodnog obrač.razdoblja koje  iznosi 13,43 te indeks iznosi 86,5.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86,5</w:t>
            </w:r>
          </w:p>
        </w:tc>
      </w:tr>
    </w:tbl>
    <w:p>
      <w:pPr>
        <w:spacing w:before="0" w:after="0"/>
      </w:pPr>
    </w:p>
    <w:p>
      <w:r>
        <w:t xml:space="preserve">Pripis kamate  je ostvaren u tekućem obračunskom razdoblju  od 11,62 eur  što je  manje od prethodnog obrač.razdoblja koje  iznosi 13,43 te indeks iznosi 86,5.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486.982,19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489.095,25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100,4</w:t>
            </w:r>
          </w:p>
        </w:tc>
      </w:tr>
    </w:tbl>
    <w:p>
      <w:pPr>
        <w:spacing w:before="0" w:after="0"/>
      </w:pPr>
    </w:p>
    <w:p>
      <w:r>
        <w:t xml:space="preserve">– Prihodi od upravnih i administrativnih pristojbi, pristojbi po posebnim propisima i naknada ostvarene su u tekućem razdoblju u iznosu od 489.095,25  eura dok u istom izvještajnom razdoblju iznosi 486.982,19 te indeks izvršenja iznosi 100,4. Stoga su prihodi od upravnih i administrativnih pristojbi povećani za neznatnih 0,4% u odnosu na isto izvještajno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486.982,19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489.095,25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100,4</w:t>
            </w:r>
          </w:p>
        </w:tc>
      </w:tr>
    </w:tbl>
    <w:p>
      <w:pPr>
        <w:spacing w:before="0" w:after="0"/>
      </w:pPr>
    </w:p>
    <w:p>
      <w:r>
        <w:t xml:space="preserve">– Prihodi od upravnih i administrativnih pristojbi, pristojbi po posebnim propisima i naknada ostvarene su u tekućem razdoblju u iznosu od 489.095,25  eura dok u istom izvještajnom razdoblju iznosi 486.982,19 te indeks izvršenja iznosi 100,4. Stoga su prihodi od upravnih i administrativnih pristojbi povećani za neznatnih 0,4% u odnosu na isto izvještajno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486.982,19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489.095,25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100,4</w:t>
            </w:r>
          </w:p>
        </w:tc>
      </w:tr>
    </w:tbl>
    <w:p>
      <w:pPr>
        <w:spacing w:before="0" w:after="0"/>
      </w:pPr>
    </w:p>
    <w:p>
      <w:r>
        <w:t xml:space="preserve">– Prihodi od upravnih i administrativnih pristojbi, pristojbi po posebnim propisima i naknada ostvarene su u tekućem razdoblju u iznosu od 489.095,25  eura dok u istom izvještajnom razdoblju iznosi 486.982,19 te indeks izvršenja iznosi 100,4. Stoga su prihodi od upravnih i administrativnih pristojbi povećani za neznatnih 0,4% u odnosu na isto izvještajno razdoblje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3.375,31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135,1</w:t>
            </w:r>
          </w:p>
        </w:tc>
      </w:tr>
    </w:tbl>
    <w:p>
      <w:pPr>
        <w:spacing w:before="0" w:after="0"/>
      </w:pPr>
    </w:p>
    <w:p>
      <w:r>
        <w:t xml:space="preserve">Ostvareni prihodi odnose se na prihode od najma poslovnog prostora za kavomat, najma za reklamni pano i dobrotvorne donacije. Ostvarenje je  veće za 35,1% u odnosu na razdoblje u protekloj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2.290,32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91,7</w:t>
            </w:r>
          </w:p>
        </w:tc>
      </w:tr>
    </w:tbl>
    <w:p>
      <w:pPr>
        <w:spacing w:before="0" w:after="0"/>
      </w:pPr>
    </w:p>
    <w:p>
      <w:r>
        <w:t xml:space="preserve">Ostvareni prihodi odnose se na prihode od najma poslovnog prostora za kavomat, najma za reklamni pano.  Ostvarenje je  manje  za 8,3 % u odnosu na  isto izvještajno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2.290,32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91,7</w:t>
            </w:r>
          </w:p>
        </w:tc>
      </w:tr>
    </w:tbl>
    <w:p>
      <w:pPr>
        <w:spacing w:before="0" w:after="0"/>
      </w:pPr>
    </w:p>
    <w:p>
      <w:r>
        <w:t xml:space="preserve">Ostvareni prihodi odnose se na prihode od najma poslovnog prostora za kavomat, najma za reklamni pano.  Ostvarenje je  manje  za 8,3 % u odnosu na  isto izvještajno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prihodi odnose se na prihode od donacije a u prethodnom razdoblju nisu bili predviđeni.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prihodi odnose se na prihode od donacije a u prethodnom razdoblju nisu bili predviđeni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539.973,81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589.689,27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Prihodi iz nadležnog proračuna i od HZZO-a temeljem ugovornih obveza ostvareni su u iznosu od 589.689,27 eura tj.9,21% veći s obzirom na isto razdoblje 2025.godine.</w:t>
      </w:r>
    </w:p>
    <w:p>
      <w:r>
        <w:t xml:space="preserve"> Povećanje je rezultat većih prihoda iz redovnog poslovanja, odnosno većih prihoda iz nadležnog proračuna isto tako  porast broja vanjskih korisnika ručkova i povećanje cijene pripreme i dostave ručkova isto tako prihode od pruženih usluga (zakupa dijela poslovnog prostora za aparate za kavu i zakupa dijela nekretnine za reklamni prostor) te donacija (tekućih i kapitalnih).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539.973,81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589.689,27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Prihodi iz nadležnog proračuna i od HZZO-a temeljem ugovornih obveza ostvareni su u iznosu od 589.689,27 eura tj.9,21% veći s obzirom na isto razdoblje 2025.godine.</w:t>
      </w:r>
    </w:p>
    <w:p>
      <w:r>
        <w:t xml:space="preserve"> Povećanje je rezultat većih prihoda iz redovnog poslovanja, odnosno većih prihoda iz nadležnog proračuna isto tako  porast broja vanjskih korisnika ručkova i povećanje cijene pripreme i dostave ručkova isto tako prihode od pruženih usluga (zakupa dijela poslovnog prostora za aparate za kavu i zakupa dijela nekretnine za reklamni prostor) te donacija (tekućih i kapitalnih).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539.973,81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589.689,27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Prihodi iz nadležnog proračuna i od HZZO-a temeljem ugovornih obveza ostvareni su u iznosu od 589.689,27 eura tj.9,21% veći s obzirom na isto razdoblje 2025.godine.</w:t>
      </w:r>
    </w:p>
    <w:p>
      <w:r>
        <w:t xml:space="preserve"> Povećanje je rezultat većih prihoda iz redovnog poslovanja, odnosno većih prihoda iz nadležnog proračuna isto tako  porast broja vanjskih korisnika ručkova i povećanje cijene pripreme i dostave ručkova isto tako prihode od pruženih usluga (zakupa dijela poslovnog prostora za aparate za kavu i zakupa dijela nekretnine za reklamni prostor) te donacija (tekućih i kapitalnih).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1.099.666,11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980.592,49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89,2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u vrijednosti od 980.592,49 eura. U proteklom razdoblju  je ostvareno 1.099.666,11 te indeks iznosi 89,2 tj. što je 10,8  % više u proteklom izvještajnom razdoblju zbog povećanja osnovica plaće, jubilarnih, regresa te povećane fluktuacije 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825.185,42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730.628,28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88,5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za zaposlene u vrijednosti od 730.628,28  eura. U proteklom razdoblju  je ostvareno 825.185,42.te indeks iznosi 88,50 tj. što je 8,50 % više u proteklom izvještajnom razdoblju zbog povećanja osnovica plaće, jubilarnih, regresa te povećane fluktuacije 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691.514,90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591.416,30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85,5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za bruto plaće u vrijednosti od 591.416,30  eura. U proteklom razdoblju  je ostvareno 691.514,90 te indeks iznosi 85,5  što je 5,5 % više u proteklom izvještajnom razdoblju zbog povećanja osnovica plaće, jubilarnih, regresa te povećane fluktuacije 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605.482,66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503.974,23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83,2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za  plaće za redovan rad u vrijednosti od 503.974,23  eura. U proteklom razdoblju  je ostvareno 605.482,66.te indeks iznosi 83,2  što je 3,2 % više u proteklom izvještajnom razdoblju zbog povećanja osnovica plaće, jubilarnih, regresa te povećane fluktuacije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15.920,29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za plaće za prekovremeni rad u vrijednosti od 15.920,29 eura. Zbog manjka djelatnika, morao se ostvarivati prekovremeni rad.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posebne uvjete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86.032,24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71.521,78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83,1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za  plaće za posebne uvjete rada u vrijednosti od 71.521,78  eura. U proteklom razdoblju  je ostvareno 86.032,24 eur te indeks iznosi 83,1 što je 16,9% više u proteklom izvještajnom razdoblju . Zbog kroničnog nedostatka djelatnika, medicinskih sestara i  njegovateljica više se moralo raditi u popodnevnim i noćnim smjenama,nedjeljama i blagdanima te shodno tome su bili viši obračuni dodataka na plaću.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18.731,99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40.511,45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216,3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ostali rashodi za zaposlene u vrijednosti od 40.511,45  eura. U proteklom razdoblju  je ostvareno 18.731,99eur te indeks iznosi 216,3 što je 116,3% u odnosu na proteklo razdoblje. U ostale rashode spadaju jubilarne, božićnice,uskrsnice,otpremnine,te zbog većeg broja djelatnika koji su otišli u mirovinu su veći rashodi za zaposlene s obzirom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114.938,53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98.700,53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85,9</w:t>
            </w:r>
          </w:p>
        </w:tc>
      </w:tr>
    </w:tbl>
    <w:p>
      <w:pPr>
        <w:spacing w:before="0" w:after="0"/>
      </w:pPr>
    </w:p>
    <w:p>
      <w:r>
        <w:t xml:space="preserve">Doprinosi su u tekućem izvještajnom razdoblju manji za 14,10% zbog manjeg broja djelatnika i iznose 98.700,53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114.938,53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98.700,53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85,9</w:t>
            </w:r>
          </w:p>
        </w:tc>
      </w:tr>
    </w:tbl>
    <w:p>
      <w:pPr>
        <w:spacing w:before="0" w:after="0"/>
      </w:pPr>
    </w:p>
    <w:p>
      <w:r>
        <w:t xml:space="preserve">Doprinosi su u tekućem izvještajnom razdoblju manji za 14,10% zbog manjeg broja djelatnika i iznose 98.700,53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271.886,40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247.568,53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91,1</w:t>
            </w:r>
          </w:p>
        </w:tc>
      </w:tr>
    </w:tbl>
    <w:p>
      <w:pPr>
        <w:spacing w:before="0" w:after="0"/>
      </w:pPr>
    </w:p>
    <w:p>
      <w:r>
        <w:t xml:space="preserve">Materijalni rashodi iznose u ostvarenom izvještajnom razdoblju 247.568,53 te je ostvareni indeks 91,1 .Materijalni rashodi odnose se na ukupne rashode.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33.561,64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20.867,72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62,2</w:t>
            </w:r>
          </w:p>
        </w:tc>
      </w:tr>
    </w:tbl>
    <w:p>
      <w:pPr>
        <w:spacing w:before="0" w:after="0"/>
      </w:pPr>
    </w:p>
    <w:p>
      <w:r>
        <w:t xml:space="preserve">Naknade troškova zaposlenima odnose se na troškove djela plaće,razne kotizacije, troškovi parkinga. U izvještajnom razdoblju iznose 20.867,72 sa ostvareni indeksom od 62,2.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2.192,68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1,8</w:t>
            </w:r>
          </w:p>
        </w:tc>
      </w:tr>
    </w:tbl>
    <w:p>
      <w:pPr>
        <w:spacing w:before="0" w:after="0"/>
      </w:pPr>
    </w:p>
    <w:p>
      <w:r>
        <w:t xml:space="preserve">Zbog smanjenih broja službenih putovanja ostvareno je samo 38,70 eur u tekućem izvještajnom razdoblju što iznosi 98,2% manje od prošlog obračunskog razdoblja.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26.012,38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20.504,02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78,8</w:t>
            </w:r>
          </w:p>
        </w:tc>
      </w:tr>
    </w:tbl>
    <w:p>
      <w:pPr>
        <w:spacing w:before="0" w:after="0"/>
      </w:pPr>
    </w:p>
    <w:p>
      <w:r>
        <w:t xml:space="preserve">Naknade za prijevoz je ostvareno u tekućoj godini 20.504,02 eur sa indeksom od 78,8 što je smanjenje od 21.2% s obzirom na prošlu godinu.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4.959,08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6,6</w:t>
            </w:r>
          </w:p>
        </w:tc>
      </w:tr>
    </w:tbl>
    <w:p>
      <w:pPr>
        <w:spacing w:before="0" w:after="0"/>
      </w:pPr>
    </w:p>
    <w:p>
      <w:r>
        <w:t xml:space="preserve">Stručno usavršavanje zaposlenika je ostvareno sa iznosom od 325,00 eur te je manje za 93,4% u odnosu na proteklo razdoblje. Do kraja godine ustanova ima u planu poslati na stručne edukacije dio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155.686,94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153.563,97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98,6</w:t>
            </w:r>
          </w:p>
        </w:tc>
      </w:tr>
    </w:tbl>
    <w:p>
      <w:pPr>
        <w:spacing w:before="0" w:after="0"/>
      </w:pPr>
    </w:p>
    <w:p>
      <w:r>
        <w:t xml:space="preserve">Rashodi za materijal i energiju - ovdje spadaju namirnice i računi za energiju (lož-ulje i struja). U izvještajnom razdoblju iznose 153.563,97 eur dok u proteklom razdoblju iznose 155.686,94 što je 1,4% manje od proteklog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11.204,27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10.188,30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90,9</w:t>
            </w:r>
          </w:p>
        </w:tc>
      </w:tr>
    </w:tbl>
    <w:p>
      <w:pPr>
        <w:spacing w:before="0" w:after="0"/>
      </w:pPr>
    </w:p>
    <w:p>
      <w:r>
        <w:t xml:space="preserve">Za uredski materijal je utrošeno u tekućem razdoblju 10.188,30 eur što je za 9,1% manje od proteklog razdoblja te iznos iznosi 90,9.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92.965,21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83.848,67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90,2</w:t>
            </w:r>
          </w:p>
        </w:tc>
      </w:tr>
    </w:tbl>
    <w:p>
      <w:pPr>
        <w:spacing w:before="0" w:after="0"/>
      </w:pPr>
    </w:p>
    <w:p>
      <w:r>
        <w:t xml:space="preserve">Na materijal i sirovine je utrošeno 83.848,67 eur što je 9,2 % manje od ostvarenja u protekloj godini te index iznosi 90,2.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44.788,57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50.150,15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112,0</w:t>
            </w:r>
          </w:p>
        </w:tc>
      </w:tr>
    </w:tbl>
    <w:p>
      <w:pPr>
        <w:spacing w:before="0" w:after="0"/>
      </w:pPr>
    </w:p>
    <w:p>
      <w:r>
        <w:t xml:space="preserve">Na energiju je utrošeno 50.150,15 eur što je više od prethodnog razdoblja 12% zbog dužeg perioda grijanja.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2.603,77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49,9</w:t>
            </w:r>
          </w:p>
        </w:tc>
      </w:tr>
    </w:tbl>
    <w:p>
      <w:pPr>
        <w:spacing w:before="0" w:after="0"/>
      </w:pPr>
    </w:p>
    <w:p>
      <w:r>
        <w:t xml:space="preserve">Na materijal za tekuće i investicijsko održavanje je utrošeno 1.300,46 eura što je za 49,9 % manje nego u prošloj godini.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1.887,88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8.076,39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427,8</w:t>
            </w:r>
          </w:p>
        </w:tc>
      </w:tr>
    </w:tbl>
    <w:p>
      <w:pPr>
        <w:spacing w:before="0" w:after="0"/>
      </w:pPr>
    </w:p>
    <w:p>
      <w:r>
        <w:t xml:space="preserve">Na sitni inventar i auto gume je utrošeno 8.076,39 eur što je 42,78% više od proteklog razdoblja. Posljedica takvog povećanja su bile nužne potrebštine za korisnike ustanove Doma "Volosko" važno za funkcioniranje i svakodnevne aktivnosti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77.074,47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66.241,12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85,9</w:t>
            </w:r>
          </w:p>
        </w:tc>
      </w:tr>
    </w:tbl>
    <w:p>
      <w:pPr>
        <w:spacing w:before="0" w:after="0"/>
      </w:pPr>
    </w:p>
    <w:p>
      <w:r>
        <w:t xml:space="preserve">Na rashode za usluge je utrošeno 66.241,12 eur u tekućem obračunskom razdoblju, a odnose se na razne usluge (komunalne, računalne, održavanja raznih). Usluge su uproteklom razdoblju bile veće te su iznosile 77.074,47 eur, a indeks je 85,9 što čini 14,1%.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2.462,51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2.389,75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97,0</w:t>
            </w:r>
          </w:p>
        </w:tc>
      </w:tr>
    </w:tbl>
    <w:p>
      <w:pPr>
        <w:spacing w:before="0" w:after="0"/>
      </w:pPr>
    </w:p>
    <w:p>
      <w:r>
        <w:t xml:space="preserve">Na usluge telefona,pošte,interneta je utrošeno 2.389,75 eur što je 3,0% manje od utrošenog u proteklom razdoblju.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31.686,81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18.388,13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58,0</w:t>
            </w:r>
          </w:p>
        </w:tc>
      </w:tr>
    </w:tbl>
    <w:p>
      <w:pPr>
        <w:spacing w:before="0" w:after="0"/>
      </w:pPr>
    </w:p>
    <w:p>
      <w:r>
        <w:t xml:space="preserve">Na usluge tekućeg i investicijskog održavanja je utrošeno 18.388,13 eur u ovom izvještajnom razdoblju ( usluge održavanja sustava za grijanje,lifta,održavanje videonadzora,popravak profesijonalnih frižidera i stroja u kuhinji). Indeks je 58,00 što je manje za 42% od proteklog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1.448,52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1.417,78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97,9</w:t>
            </w:r>
          </w:p>
        </w:tc>
      </w:tr>
    </w:tbl>
    <w:p>
      <w:pPr>
        <w:spacing w:before="0" w:after="0"/>
      </w:pPr>
    </w:p>
    <w:p>
      <w:r>
        <w:t xml:space="preserve">Na usluge promidžbe i informiranja (troškovi oglasa u NN i račun za  HRT) je utrošeno u ovom tekućem razdoblju 1.417,78 eur sa indeksom od 97,9 s obzirom na proteklo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21.638,73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21.533,67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99,5</w:t>
            </w:r>
          </w:p>
        </w:tc>
      </w:tr>
    </w:tbl>
    <w:p>
      <w:pPr>
        <w:spacing w:before="0" w:after="0"/>
      </w:pPr>
    </w:p>
    <w:p>
      <w:r>
        <w:t xml:space="preserve">Na komunalne usluge je utrošeno u ovom izvještajnom razdoblju 21.533,67 eur što je indeks od 99,5 s obzirom na proteklo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637,03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Ustanova ima u najmu fotokopirni aparat te je u ovom izvještajnom razdoblju utrošeno 637,03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6.819,76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3.914,99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57,4</w:t>
            </w:r>
          </w:p>
        </w:tc>
      </w:tr>
    </w:tbl>
    <w:p>
      <w:pPr>
        <w:spacing w:before="0" w:after="0"/>
      </w:pPr>
    </w:p>
    <w:p>
      <w:r>
        <w:t xml:space="preserve">Na zdravstvene i veterinarske usluge je utrošeno u tekućem razdoblju 3.914,99 eur gdje je indeks ostvarenja od 57,4  od proteklog izvještajnog razdoblja. Usluge se odnose na usluge NZZJZ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3.845,65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145,6</w:t>
            </w:r>
          </w:p>
        </w:tc>
      </w:tr>
    </w:tbl>
    <w:p>
      <w:pPr>
        <w:spacing w:before="0" w:after="0"/>
      </w:pPr>
    </w:p>
    <w:p>
      <w:r>
        <w:t xml:space="preserve">Na intelektualne usluge je utrošeno u ovom izvještajnom razdoblju 5.600,00 eur što je 45,6 % više u odnosu na proteklo razdoblje. Povećanje je znatno s obzirom na proteklo razdoblje zbog povećanih intelektualnih usluga ( izrada elaborata - procjena  rizika).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7.546,50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11.135,70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147,6</w:t>
            </w:r>
          </w:p>
        </w:tc>
      </w:tr>
    </w:tbl>
    <w:p>
      <w:pPr>
        <w:spacing w:before="0" w:after="0"/>
      </w:pPr>
    </w:p>
    <w:p>
      <w:r>
        <w:t xml:space="preserve">Na računalne usluge je utrošeno 11.135,70 eura što je povećanje od 47,60 % u odnosu na proteklo razdoblje. Održavanje svih web usluga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1.224,07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75,3</w:t>
            </w:r>
          </w:p>
        </w:tc>
      </w:tr>
    </w:tbl>
    <w:p>
      <w:pPr>
        <w:spacing w:before="0" w:after="0"/>
      </w:pPr>
    </w:p>
    <w:p>
      <w:r>
        <w:t xml:space="preserve">Na ostale usluge je utrošeno 1.224,07 eur sa ostvarenim indeksom od 75,3 u odnosu na proteklo razdoblje. Ostale usluge se odnose na usluge za ispitivanje štetnih plinova u kotlovnici.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5.563,35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6.895,72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123,9</w:t>
            </w:r>
          </w:p>
        </w:tc>
      </w:tr>
    </w:tbl>
    <w:p>
      <w:pPr>
        <w:spacing w:before="0" w:after="0"/>
      </w:pPr>
    </w:p>
    <w:p>
      <w:r>
        <w:t xml:space="preserve">Ova vrsta rashoda odnosi se na police osiguranja te je ostvareno u ovom izvještajnom periodu 6.895,72 eur što je 23,9 % više od  izvršenja ostvarenog u prošlom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46,0</w:t>
            </w:r>
          </w:p>
        </w:tc>
      </w:tr>
    </w:tbl>
    <w:p>
      <w:pPr>
        <w:spacing w:before="0" w:after="0"/>
      </w:pPr>
    </w:p>
    <w:p>
      <w:r>
        <w:t xml:space="preserve">Na naknadu za rad predstavničkih tijela je utrošeno 619,62 eur što je 46% manje od proteklog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3.913,81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5.708,75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145,9</w:t>
            </w:r>
          </w:p>
        </w:tc>
      </w:tr>
    </w:tbl>
    <w:p>
      <w:pPr>
        <w:spacing w:before="0" w:after="0"/>
      </w:pPr>
    </w:p>
    <w:p>
      <w:r>
        <w:t xml:space="preserve">Na premije osiguranja je utrošeno u tekućem periodu 5.708,5 eur što je povećanje od 45,9 % više nego prošle godine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509,25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200,4</w:t>
            </w:r>
          </w:p>
        </w:tc>
      </w:tr>
    </w:tbl>
    <w:p>
      <w:pPr>
        <w:spacing w:before="0" w:after="0"/>
      </w:pPr>
    </w:p>
    <w:p>
      <w:r>
        <w:t xml:space="preserve">Na pristojbe i naknade je utrošeno 509,25 eur u tekućem izvještajnom razdoblju, dok je u prošlom izvještajnom razdoblju ostvareno 254,11 eur što je 100,4% više.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Na ostale nespomenute rashode poslovanju je utrošeno 58,10 eur, ovdje ulaze troškovi za FINA paket usluge. Index ostvarenja je 116,7 što je 16,7% više od proteklog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32,8</w:t>
            </w:r>
          </w:p>
        </w:tc>
      </w:tr>
    </w:tbl>
    <w:p>
      <w:pPr>
        <w:spacing w:before="0" w:after="0"/>
      </w:pPr>
    </w:p>
    <w:p>
      <w:r>
        <w:t xml:space="preserve">Financijski rashodi su u ovom izvještajnom razdoblju 88,24 eur što je smanjenje od 67,20% s obzirom na proteklo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32,8</w:t>
            </w:r>
          </w:p>
        </w:tc>
      </w:tr>
    </w:tbl>
    <w:p>
      <w:pPr>
        <w:spacing w:before="0" w:after="0"/>
      </w:pPr>
    </w:p>
    <w:p>
      <w:r>
        <w:t xml:space="preserve">U ostale financijske rashode ulaze kamate i usluge platnog prometa. Ovdje se vidi osjetno smanjenje  s obzirom na prošlo razdoblje te iznosi 67,2%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32,4</w:t>
            </w:r>
          </w:p>
        </w:tc>
      </w:tr>
    </w:tbl>
    <w:p>
      <w:pPr>
        <w:spacing w:before="0" w:after="0"/>
      </w:pPr>
    </w:p>
    <w:p>
      <w:r>
        <w:t xml:space="preserve">U ostale financijske rashode ulaze kamate i usluge platnog prometa. Ovdje se vidi osjetno smanjenje  s obzirom na prošlo razdoblje te iznosi 67,2%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Ove naknade se odnose na naknade za osobne potrebe koje ministarstvo uplaćuje na temelju rješenja Socijalne skrbi. Ostvareno je 2.307,44  eur što je 99,2 indeksnih bodova  od prošlogodišnjeg iznosa.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Ove naknade se odnose na naknade za osobne potrebe koje ministarstvo uplaćuje na temelju rješenja Socijalne skrbi. Ostvareno je 2.307,44  eur što je 99,2 indeksnih bodova  od prošlogodišnjeg iznosa.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Ove naknade se odnose na naknade za osobne potrebe koje ministarstvo uplaćuje na temelju rješenja Socijalne skrbi. Ostvareno je 2.307,44  eur što je 99,2 indeksnih bodova  od prošlogodišnjeg iznosa.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poslovanja (šifre 3-Z003+Z004)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1.099.666,11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980.592,49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89,2</w:t>
            </w:r>
          </w:p>
        </w:tc>
      </w:tr>
    </w:tbl>
    <w:p>
      <w:pPr>
        <w:spacing w:before="0" w:after="0"/>
      </w:pPr>
    </w:p>
    <w:p>
      <w:r>
        <w:t xml:space="preserve">Polugodišnjim izvještajem utvrđeni su ostvareni ukupni rashodi u vrijednosti od 987.386,33  eura. U proteklom razdoblju  je ostvareno 1.099.66,11 te indeks iznosi 89,2 tj. što je 10,8  % više u proteklom izvještajnom razdoblju zbog povećanja osnovica plaće, jubilarnih, regresa te povećane fluktuacije 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104.818,96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je ostvaren zbog nesrazmjernog povlačenja sredstava za plaće sa više izvora te će biti iznivelirano do kraja obraačunskog razdoblja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66.959,08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tekućem obračunskom razdoblju nije bilo manjka prihoda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40.865,95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Iskazani višak prihoda odnosi se na preneseni višak prihoda  poslovanja koji je prenesen iz 2025 godine.Po odluci je raspoređen po izvorima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11.447,69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Iskazani iznos od 11.447,69 eur odnosi se na preneseni manjak iz vlastitiog izvora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16.384,15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16.189,10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98,8</w:t>
            </w:r>
          </w:p>
        </w:tc>
      </w:tr>
    </w:tbl>
    <w:p>
      <w:pPr>
        <w:spacing w:before="0" w:after="0"/>
      </w:pPr>
    </w:p>
    <w:p>
      <w:r>
        <w:t xml:space="preserve">Ovaj iznos povlači se iz početnog stanja duga iz proteklih godina koji su obračunati a ne naplaćeni.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i pruženih usluga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Ovaj prihod je od najma prostora za kavomat.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55.596,13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12,2</w:t>
            </w:r>
          </w:p>
        </w:tc>
      </w:tr>
    </w:tbl>
    <w:p>
      <w:pPr>
        <w:spacing w:before="0" w:after="0"/>
      </w:pPr>
    </w:p>
    <w:p>
      <w:r>
        <w:t xml:space="preserve">U ovom obračunskom razdoblju ustanova je imala  manje rashoda za nabavu nefinancijske imovine sa indeksom od 12,2. Razlog tome je manji kontinuitet ulaganja u nefinancijsku imovinu.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55.596,13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12,2</w:t>
            </w:r>
          </w:p>
        </w:tc>
      </w:tr>
    </w:tbl>
    <w:p>
      <w:pPr>
        <w:spacing w:before="0" w:after="0"/>
      </w:pPr>
    </w:p>
    <w:p>
      <w:r>
        <w:t xml:space="preserve">U ovom obračunskom razdoblju ustanova je imala  manje rashoda za nabavu nefinancijske imovine sa indeksom od 12,2. Razlog tome je manji kontinuitet ulaganja u nefinancijsku imovinu.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55.596,13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12,2</w:t>
            </w:r>
          </w:p>
        </w:tc>
      </w:tr>
    </w:tbl>
    <w:p>
      <w:pPr>
        <w:spacing w:before="0" w:after="0"/>
      </w:pPr>
    </w:p>
    <w:p>
      <w:r>
        <w:t xml:space="preserve">U ovom obračunskom razdoblju ustanova je imala  manje rashoda za nabavu nefinancijske imovine sa indeksom od 12,2. Razlog tome je manji kontinuitet ulaganja u nefinancijsku imovinu.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31.066,88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2,2</w:t>
            </w:r>
          </w:p>
        </w:tc>
      </w:tr>
    </w:tbl>
    <w:p>
      <w:pPr>
        <w:spacing w:before="0" w:after="0"/>
      </w:pPr>
    </w:p>
    <w:p>
      <w:r>
        <w:t xml:space="preserve">Iznos se odnosi na komunikacijsku opremu potrebnu za sigurnost korisnika. U ovom izvještajnom razdoblju je ostvareno samo 2,2% od prethodnog razdoblja ili 97,80% manje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4.375,00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295,5</w:t>
            </w:r>
          </w:p>
        </w:tc>
      </w:tr>
    </w:tbl>
    <w:p>
      <w:pPr>
        <w:spacing w:before="0" w:after="0"/>
      </w:pPr>
    </w:p>
    <w:p>
      <w:r>
        <w:t xml:space="preserve">Iznos se odnosi na kupnju profesionalne perilice za praonu. U ovom izvještajnom razdoblju je ostvareno 4.375,00 eur što je 195,5% više u odnosu na proteklo razdoblje.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55.596,13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6.793,84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12,2</w:t>
            </w:r>
          </w:p>
        </w:tc>
      </w:tr>
    </w:tbl>
    <w:p>
      <w:pPr>
        <w:spacing w:before="0" w:after="0"/>
      </w:pPr>
    </w:p>
    <w:p>
      <w:r>
        <w:t xml:space="preserve">U ovom obračunskom razdoblju ustanova je imala  manje rashoda za nabavu nefinancijske imovine sa indeksom od 12,2. Razlog tome je manji kontinuitet ulaganja u nefinancijsku imovinu pa shodno tome i manjak prihoda od nefinancijske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(šifre 6+7)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1.032.707,03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1.085.411,45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105,1</w:t>
            </w:r>
          </w:p>
        </w:tc>
      </w:tr>
    </w:tbl>
    <w:p>
      <w:pPr>
        <w:spacing w:before="0" w:after="0"/>
      </w:pPr>
    </w:p>
    <w:p>
      <w:r>
        <w:t xml:space="preserve">Polugodišnjim izvještajem o izvršenju Financijskog plana Doma za starije osobe „Volosko“ Opatija za 2026. godinu utvrđeni su ostvareni ukupni prihodi u vrijednosti od 1.085.411,45 eura što je 56,55% od planiranog izvornog plana  i 5,1 % više u odnosu na isto obračunsko razdoblje 06-2025. Srazmjer u većim prihodima u tekućem obračunskom razdoblju s obziroma na isto razdoblje protekle godine proizlazi iz neujednačenog povlačenja sredstava za plaće  sa županijskog izvora 4441 i izvora ministarstva 4441 te je stoga više sredstava na kontu plaća ostalo na vlastitom izvoru 431201 . Do kraja tekuće godine će izvori biti iznivelirani jer će se povući i sa vlastitog izvora.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(šifre Z005+4)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1.155.262,24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987.386,33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85,5</w:t>
            </w:r>
          </w:p>
        </w:tc>
      </w:tr>
    </w:tbl>
    <w:p>
      <w:pPr>
        <w:spacing w:before="0" w:after="0"/>
      </w:pPr>
    </w:p>
    <w:p>
      <w:r>
        <w:t xml:space="preserve">Ukupni rashodi su manji za 14,50%  od proteklog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96, 97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i od prodaje nefinancijske imovine - nenaplaćeni (šifre 96+97)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16.384,15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16.189,10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98,8</w:t>
            </w:r>
          </w:p>
        </w:tc>
      </w:tr>
    </w:tbl>
    <w:p>
      <w:pPr>
        <w:spacing w:before="0" w:after="0"/>
      </w:pPr>
    </w:p>
    <w:p>
      <w:r>
        <w:t xml:space="preserve">Obračunati prihodi od poslovanja - nenaplaćeni na dan 30.06.2026.godine iznosi 16.189,10 eur te su u odnosu na isto razdoblje prethodne goddine manji za 195,05 eur što je 1,2% (indeks 98,8).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početku izvještajnog razdoblja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35.647,90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181.383,27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508,8</w:t>
            </w:r>
          </w:p>
        </w:tc>
      </w:tr>
    </w:tbl>
    <w:p>
      <w:pPr>
        <w:spacing w:before="0" w:after="0"/>
      </w:pPr>
    </w:p>
    <w:p>
      <w:r>
        <w:t xml:space="preserve">Iskazani iznos je u izvještajnom razdoblju 181.383,27 eur i veći je u odnosu na proteklo razdoblje za 408,8%. Povećanje je rezultat prenesenog viška iz prethodne godine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11-dugov.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priljevi na novčane račune i blagajne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11-dugov.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991.746,91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154.681,54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15,6</w:t>
            </w:r>
          </w:p>
        </w:tc>
      </w:tr>
    </w:tbl>
    <w:p>
      <w:pPr>
        <w:spacing w:before="0" w:after="0"/>
      </w:pPr>
    </w:p>
    <w:p>
      <w:r>
        <w:t xml:space="preserve">Iskazani iznos je u tekućem obračunskom razdoblju manji za 84,4% (indeks 15,60) s obzirom na prethodno razdoblje. Značajno smanjenje priljeva u odnosu na prethodnu godinu je razlog prelaska u sustav Riznice i prijenosa sredstava, te zatvaranje poslovnog računa kod banke.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11-potraž.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odljevi s novčanih računa i blagajni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11-potraž.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992.961,47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335.500,72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33,8</w:t>
            </w:r>
          </w:p>
        </w:tc>
      </w:tr>
    </w:tbl>
    <w:p>
      <w:pPr>
        <w:spacing w:before="0" w:after="0"/>
      </w:pPr>
    </w:p>
    <w:p>
      <w:r>
        <w:t xml:space="preserve">Iskazani iznos je u tekućem obračunskom razdoblju manji za 66,2% (indeks 33,8) s obzirom na prethodno razdoblje. Značajno smanjenje priljeva u odnosu na prethodnu godinu je razlog prelaska u sustav Riznice i prijenosa sredstava, te zatvaranje poslovnog računa kod banke.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34.433,34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564,09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1,6</w:t>
            </w:r>
          </w:p>
        </w:tc>
      </w:tr>
    </w:tbl>
    <w:p>
      <w:pPr>
        <w:spacing w:before="0" w:after="0"/>
      </w:pPr>
    </w:p>
    <w:p>
      <w:r>
        <w:t xml:space="preserve">Iskazani iznos je u tekućem obračunskom razdoblju manji za 98,4% (indeks 1,6) s obzirom na prethodno razdoblje. Značajno smanjenje stanaj novčanih sredstava u odnosu na prethodnu godinu je razlog prelaska u sustav Riznice i prijenosa sredstava, te zatvaranje poslovnog računa kod banke.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sati rada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105,0</w:t>
            </w:r>
          </w:p>
        </w:tc>
      </w:tr>
    </w:tbl>
    <w:p>
      <w:pPr>
        <w:spacing w:before="0" w:after="0"/>
      </w:pPr>
    </w:p>
    <w:p>
      <w:r>
        <w:t xml:space="preserve">Povećan je broj zaposlenika u ovom izvještajnom razdoblju s obzirom na proteklo u prosjeku za 5%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iz državnog proračuna proračunskim korisnicima proračuna JLP(R)S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Iskazani iznos pokriva, sufinanciranje energenta struje te je isti kao i u prethodnom razdoblju.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486.178,54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487.966,55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100,4</w:t>
            </w:r>
          </w:p>
        </w:tc>
      </w:tr>
    </w:tbl>
    <w:p>
      <w:pPr>
        <w:spacing w:before="0" w:after="0"/>
      </w:pPr>
    </w:p>
    <w:p>
      <w:r>
        <w:t xml:space="preserve">Navedeni prihod se odnosi na naplatu pruženih usluga koje nudi dom te indeks iznosi 100,4 u odnosu na ostvareno proteklo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s naslova osiguranja, refundacije štete i totalne štete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150,6</w:t>
            </w:r>
          </w:p>
        </w:tc>
      </w:tr>
    </w:tbl>
    <w:p>
      <w:pPr>
        <w:spacing w:before="0" w:after="0"/>
      </w:pPr>
    </w:p>
    <w:p>
      <w:r>
        <w:t xml:space="preserve">Prihod se odnosi za naplatu osiguranja te je ostvareno u izvještajnom razdoblju 615,00 eur odnosno povećan je za 50,6 % u odnosu na proteklo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Otpremnine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8.366,23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11.924,79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142,5</w:t>
            </w:r>
          </w:p>
        </w:tc>
      </w:tr>
    </w:tbl>
    <w:p>
      <w:pPr>
        <w:spacing w:before="0" w:after="0"/>
      </w:pPr>
    </w:p>
    <w:p>
      <w:r>
        <w:t xml:space="preserve">Zbog odlaska više djelatnika u mirovinu došlo je do povećanog ostvarenja iznosa za otpremnine za 42,5 % od proteklog radoblja.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 obiteljima i kućanstvima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Iskazani iznos odnosi se na pomoć potrebitima koje financira Ministartsvo u suradnji sa Socijalnom skrbi. Index je 99,2 što je manje za 0,8% od  proteklog razdoblja.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24.286,70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dospjele obveze iznose 24.286,70 eur. Obveze se odnose na dospjele obveze prema dobavljačima i ostale tekuće obveze koje do dana sastavljanja izvještaja nisu podmirene zbog dospijeća plaćanja. Podmirenje je planirano u sljedećem obračunskom razdoblju, u skladu sa raspoloživim financijskim sredstvima.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958874fae74a24" /></Relationships>
</file>